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FF" w:rsidRPr="00097E80" w:rsidRDefault="00554A13" w:rsidP="0078162B">
      <w:pPr>
        <w:tabs>
          <w:tab w:val="left" w:pos="3075"/>
          <w:tab w:val="right" w:pos="7920"/>
        </w:tabs>
        <w:spacing w:after="0"/>
        <w:contextualSpacing/>
        <w:rPr>
          <w:b/>
          <w:color w:val="FF0000"/>
          <w:szCs w:val="22"/>
        </w:rPr>
      </w:pPr>
      <w:r w:rsidRPr="00097E80">
        <w:rPr>
          <w:noProof/>
          <w:color w:val="FF0000"/>
          <w:lang w:bidi="ar-SA"/>
        </w:rPr>
        <w:drawing>
          <wp:anchor distT="0" distB="0" distL="114300" distR="114300" simplePos="0" relativeHeight="251666432" behindDoc="1" locked="0" layoutInCell="1" allowOverlap="1">
            <wp:simplePos x="0" y="0"/>
            <wp:positionH relativeFrom="column">
              <wp:posOffset>5668010</wp:posOffset>
            </wp:positionH>
            <wp:positionV relativeFrom="paragraph">
              <wp:posOffset>-715010</wp:posOffset>
            </wp:positionV>
            <wp:extent cx="990600" cy="1905000"/>
            <wp:effectExtent l="0" t="0" r="0" b="0"/>
            <wp:wrapTight wrapText="bothSides">
              <wp:wrapPolygon edited="0">
                <wp:start x="0" y="0"/>
                <wp:lineTo x="0" y="21384"/>
                <wp:lineTo x="21185" y="21384"/>
                <wp:lineTo x="21185" y="0"/>
                <wp:lineTo x="0" y="0"/>
              </wp:wrapPolygon>
            </wp:wrapTight>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905000"/>
                    </a:xfrm>
                    <a:prstGeom prst="rect">
                      <a:avLst/>
                    </a:prstGeom>
                    <a:noFill/>
                    <a:ln>
                      <a:noFill/>
                    </a:ln>
                  </pic:spPr>
                </pic:pic>
              </a:graphicData>
            </a:graphic>
          </wp:anchor>
        </w:drawing>
      </w:r>
      <w:bookmarkStart w:id="0" w:name="_GoBack"/>
      <w:bookmarkEnd w:id="0"/>
      <w:r w:rsidR="00484FB5" w:rsidRPr="00097E80">
        <w:rPr>
          <w:b/>
          <w:color w:val="FF0000"/>
          <w:szCs w:val="22"/>
        </w:rPr>
        <w:tab/>
      </w:r>
      <w:r w:rsidR="00484FB5" w:rsidRPr="00097E80">
        <w:rPr>
          <w:b/>
          <w:color w:val="FF0000"/>
          <w:szCs w:val="22"/>
        </w:rPr>
        <w:tab/>
      </w:r>
    </w:p>
    <w:p w:rsidR="0025459C" w:rsidRPr="00097E80" w:rsidRDefault="0025459C" w:rsidP="00F41369">
      <w:pPr>
        <w:jc w:val="center"/>
        <w:rPr>
          <w:rFonts w:asciiTheme="minorHAnsi" w:hAnsiTheme="minorHAnsi" w:cstheme="minorHAnsi"/>
          <w:b/>
          <w:caps/>
          <w:color w:val="FF0000"/>
          <w:szCs w:val="22"/>
          <w:lang w:val="en-GB"/>
        </w:rPr>
      </w:pPr>
    </w:p>
    <w:p w:rsidR="005C3F4A" w:rsidRDefault="005C3F4A" w:rsidP="00C0582F">
      <w:pPr>
        <w:snapToGrid w:val="0"/>
        <w:spacing w:after="0" w:line="240" w:lineRule="auto"/>
        <w:ind w:right="176"/>
        <w:jc w:val="center"/>
        <w:rPr>
          <w:b/>
        </w:rPr>
      </w:pPr>
    </w:p>
    <w:p w:rsidR="005C3F4A" w:rsidRDefault="005C3F4A" w:rsidP="00C0582F">
      <w:pPr>
        <w:snapToGrid w:val="0"/>
        <w:spacing w:after="0" w:line="240" w:lineRule="auto"/>
        <w:ind w:right="176"/>
        <w:jc w:val="center"/>
        <w:rPr>
          <w:b/>
        </w:rPr>
      </w:pPr>
    </w:p>
    <w:p w:rsidR="005C3F4A" w:rsidRDefault="005C3F4A" w:rsidP="00C0582F">
      <w:pPr>
        <w:snapToGrid w:val="0"/>
        <w:spacing w:after="0" w:line="240" w:lineRule="auto"/>
        <w:ind w:right="176"/>
        <w:jc w:val="center"/>
        <w:rPr>
          <w:b/>
        </w:rPr>
      </w:pPr>
    </w:p>
    <w:p w:rsidR="005C3F4A" w:rsidRDefault="005C3F4A" w:rsidP="00C0582F">
      <w:pPr>
        <w:snapToGrid w:val="0"/>
        <w:spacing w:after="0" w:line="240" w:lineRule="auto"/>
        <w:ind w:right="176"/>
        <w:jc w:val="center"/>
        <w:rPr>
          <w:b/>
        </w:rPr>
      </w:pPr>
    </w:p>
    <w:p w:rsidR="005C3F4A" w:rsidRDefault="005C3F4A" w:rsidP="005C3F4A">
      <w:pPr>
        <w:tabs>
          <w:tab w:val="left" w:pos="3075"/>
          <w:tab w:val="right" w:pos="7920"/>
        </w:tabs>
        <w:spacing w:after="0"/>
        <w:contextualSpacing/>
        <w:jc w:val="right"/>
        <w:rPr>
          <w:b/>
          <w:szCs w:val="22"/>
        </w:rPr>
      </w:pPr>
      <w:r>
        <w:rPr>
          <w:b/>
          <w:szCs w:val="22"/>
        </w:rPr>
        <w:tab/>
      </w:r>
      <w:r>
        <w:rPr>
          <w:b/>
          <w:szCs w:val="22"/>
        </w:rPr>
        <w:tab/>
        <w:t xml:space="preserve">                                    </w:t>
      </w:r>
    </w:p>
    <w:p w:rsidR="005C3F4A" w:rsidRDefault="005C3F4A" w:rsidP="005C3F4A">
      <w:pPr>
        <w:jc w:val="center"/>
        <w:rPr>
          <w:rFonts w:asciiTheme="minorHAnsi" w:hAnsiTheme="minorHAnsi" w:cstheme="minorHAnsi"/>
          <w:b/>
          <w:caps/>
          <w:szCs w:val="22"/>
          <w:lang w:val="en-GB"/>
        </w:rPr>
      </w:pPr>
      <w:r>
        <w:rPr>
          <w:rFonts w:asciiTheme="minorHAnsi" w:hAnsiTheme="minorHAnsi" w:cstheme="minorHAnsi"/>
          <w:b/>
          <w:caps/>
          <w:szCs w:val="22"/>
          <w:lang w:val="en-GB"/>
        </w:rPr>
        <w:t>The United Nations Development Programme</w:t>
      </w:r>
    </w:p>
    <w:p w:rsidR="005C3F4A" w:rsidRDefault="005C3F4A" w:rsidP="005C3F4A">
      <w:pPr>
        <w:jc w:val="center"/>
        <w:rPr>
          <w:rFonts w:asciiTheme="minorHAnsi" w:hAnsiTheme="minorHAnsi" w:cstheme="minorHAnsi"/>
          <w:b/>
          <w:caps/>
          <w:szCs w:val="22"/>
          <w:lang w:val="en-GB"/>
        </w:rPr>
      </w:pPr>
      <w:r>
        <w:rPr>
          <w:rFonts w:asciiTheme="minorHAnsi" w:hAnsiTheme="minorHAnsi" w:cstheme="minorHAnsi"/>
          <w:b/>
          <w:caps/>
          <w:szCs w:val="22"/>
          <w:lang w:val="en-GB"/>
        </w:rPr>
        <w:t>(Myanmar)</w:t>
      </w:r>
    </w:p>
    <w:p w:rsidR="005C3F4A" w:rsidRDefault="005C3F4A" w:rsidP="005C3F4A">
      <w:pPr>
        <w:jc w:val="center"/>
        <w:rPr>
          <w:rFonts w:asciiTheme="minorHAnsi" w:hAnsiTheme="minorHAnsi" w:cstheme="minorHAnsi"/>
          <w:b/>
          <w:caps/>
          <w:szCs w:val="22"/>
          <w:lang w:val="en-GB"/>
        </w:rPr>
      </w:pPr>
    </w:p>
    <w:p w:rsidR="005C3F4A" w:rsidRDefault="005C3F4A" w:rsidP="005C3F4A">
      <w:pPr>
        <w:jc w:val="center"/>
        <w:rPr>
          <w:rFonts w:asciiTheme="minorHAnsi" w:hAnsiTheme="minorHAnsi" w:cstheme="minorHAnsi"/>
          <w:b/>
          <w:caps/>
          <w:szCs w:val="22"/>
          <w:lang w:val="en-GB"/>
        </w:rPr>
      </w:pPr>
    </w:p>
    <w:p w:rsidR="005C3F4A" w:rsidRDefault="005C3F4A" w:rsidP="005C3F4A">
      <w:pPr>
        <w:jc w:val="center"/>
        <w:rPr>
          <w:rFonts w:asciiTheme="minorHAnsi" w:hAnsiTheme="minorHAnsi" w:cstheme="minorHAnsi"/>
          <w:b/>
          <w:caps/>
          <w:szCs w:val="22"/>
          <w:lang w:val="en-GB"/>
        </w:rPr>
      </w:pPr>
    </w:p>
    <w:p w:rsidR="005C3F4A" w:rsidRDefault="005C3F4A" w:rsidP="005C3F4A">
      <w:pPr>
        <w:jc w:val="center"/>
        <w:rPr>
          <w:rFonts w:asciiTheme="minorHAnsi" w:hAnsiTheme="minorHAnsi" w:cstheme="minorHAnsi"/>
          <w:b/>
          <w:caps/>
          <w:szCs w:val="22"/>
          <w:lang w:val="en-GB"/>
        </w:rPr>
      </w:pPr>
    </w:p>
    <w:p w:rsidR="005C3F4A" w:rsidRDefault="005C3F4A" w:rsidP="005C3F4A">
      <w:pPr>
        <w:jc w:val="center"/>
        <w:rPr>
          <w:rFonts w:asciiTheme="minorHAnsi" w:hAnsiTheme="minorHAnsi" w:cstheme="minorHAnsi"/>
          <w:b/>
          <w:caps/>
          <w:szCs w:val="22"/>
          <w:lang w:val="en-GB"/>
        </w:rPr>
      </w:pPr>
    </w:p>
    <w:p w:rsidR="005C3F4A" w:rsidRDefault="005C3F4A" w:rsidP="005C3F4A">
      <w:pPr>
        <w:jc w:val="center"/>
        <w:rPr>
          <w:rFonts w:asciiTheme="minorHAnsi" w:hAnsiTheme="minorHAnsi" w:cstheme="minorHAnsi"/>
          <w:b/>
          <w:caps/>
          <w:szCs w:val="22"/>
          <w:lang w:val="en-GB"/>
        </w:rPr>
      </w:pPr>
      <w:r w:rsidRPr="009C52E8">
        <w:rPr>
          <w:rFonts w:asciiTheme="minorHAnsi" w:hAnsiTheme="minorHAnsi" w:cstheme="minorHAnsi"/>
          <w:b/>
          <w:caps/>
          <w:szCs w:val="22"/>
          <w:lang w:val="en-GB"/>
        </w:rPr>
        <w:t xml:space="preserve">Sustainable Microfinance to Improve Livelihoods of the POOR </w:t>
      </w:r>
      <w:r>
        <w:rPr>
          <w:rFonts w:asciiTheme="minorHAnsi" w:hAnsiTheme="minorHAnsi" w:cstheme="minorHAnsi"/>
          <w:b/>
          <w:caps/>
          <w:szCs w:val="22"/>
          <w:lang w:val="en-GB"/>
        </w:rPr>
        <w:t>(MYA/01/004)</w:t>
      </w:r>
    </w:p>
    <w:p w:rsidR="005C3F4A" w:rsidRDefault="005C3F4A" w:rsidP="005C3F4A">
      <w:pPr>
        <w:jc w:val="center"/>
        <w:rPr>
          <w:rFonts w:asciiTheme="minorHAnsi" w:hAnsiTheme="minorHAnsi" w:cstheme="minorHAnsi"/>
          <w:b/>
          <w:caps/>
          <w:szCs w:val="22"/>
          <w:lang w:val="en-GB"/>
        </w:rPr>
      </w:pPr>
      <w:r>
        <w:rPr>
          <w:rFonts w:asciiTheme="minorHAnsi" w:hAnsiTheme="minorHAnsi" w:cstheme="minorHAnsi"/>
          <w:b/>
          <w:caps/>
          <w:szCs w:val="22"/>
          <w:lang w:val="en-GB"/>
        </w:rPr>
        <w:t xml:space="preserve"> (</w:t>
      </w:r>
      <w:r w:rsidRPr="009C52E8">
        <w:rPr>
          <w:rFonts w:asciiTheme="minorHAnsi" w:hAnsiTheme="minorHAnsi" w:cstheme="minorHAnsi"/>
          <w:b/>
          <w:caps/>
          <w:szCs w:val="22"/>
          <w:lang w:val="en-GB"/>
        </w:rPr>
        <w:t>MOA</w:t>
      </w:r>
      <w:r>
        <w:rPr>
          <w:rFonts w:asciiTheme="minorHAnsi" w:hAnsiTheme="minorHAnsi" w:cstheme="minorHAnsi"/>
          <w:b/>
          <w:caps/>
          <w:szCs w:val="22"/>
          <w:lang w:val="en-GB"/>
        </w:rPr>
        <w:t xml:space="preserve"> No: </w:t>
      </w:r>
      <w:r w:rsidRPr="009C52E8">
        <w:rPr>
          <w:rFonts w:asciiTheme="minorHAnsi" w:hAnsiTheme="minorHAnsi" w:cstheme="minorHAnsi"/>
          <w:b/>
          <w:caps/>
          <w:szCs w:val="22"/>
          <w:lang w:val="en-GB"/>
        </w:rPr>
        <w:t xml:space="preserve"> </w:t>
      </w:r>
      <w:r>
        <w:rPr>
          <w:rFonts w:asciiTheme="minorHAnsi" w:hAnsiTheme="minorHAnsi" w:cstheme="minorHAnsi"/>
          <w:b/>
          <w:caps/>
          <w:szCs w:val="22"/>
          <w:lang w:val="en-GB"/>
        </w:rPr>
        <w:t xml:space="preserve">MOA </w:t>
      </w:r>
      <w:r w:rsidRPr="009C52E8">
        <w:rPr>
          <w:rFonts w:asciiTheme="minorHAnsi" w:hAnsiTheme="minorHAnsi" w:cstheme="minorHAnsi"/>
          <w:b/>
          <w:caps/>
          <w:szCs w:val="22"/>
          <w:lang w:val="en-GB"/>
        </w:rPr>
        <w:t>R1.3/0011/2012)</w:t>
      </w:r>
    </w:p>
    <w:p w:rsidR="005C3F4A" w:rsidRDefault="005C3F4A" w:rsidP="005C3F4A">
      <w:pPr>
        <w:tabs>
          <w:tab w:val="left" w:pos="0"/>
          <w:tab w:val="left" w:pos="1080"/>
          <w:tab w:val="center" w:pos="4590"/>
          <w:tab w:val="left" w:pos="7440"/>
        </w:tabs>
        <w:jc w:val="center"/>
        <w:rPr>
          <w:rFonts w:asciiTheme="minorHAnsi" w:hAnsiTheme="minorHAnsi" w:cstheme="minorHAnsi"/>
          <w:b/>
          <w:szCs w:val="22"/>
          <w:lang w:val="en-GB"/>
        </w:rPr>
      </w:pPr>
    </w:p>
    <w:p w:rsidR="005C3F4A" w:rsidRDefault="005C3F4A" w:rsidP="005C3F4A">
      <w:pPr>
        <w:tabs>
          <w:tab w:val="left" w:pos="0"/>
          <w:tab w:val="left" w:pos="1080"/>
          <w:tab w:val="center" w:pos="4590"/>
          <w:tab w:val="left" w:pos="7440"/>
        </w:tabs>
        <w:jc w:val="center"/>
        <w:rPr>
          <w:rFonts w:asciiTheme="minorHAnsi" w:hAnsiTheme="minorHAnsi" w:cstheme="minorHAnsi"/>
          <w:b/>
          <w:szCs w:val="22"/>
          <w:lang w:val="en-GB"/>
        </w:rPr>
      </w:pPr>
    </w:p>
    <w:p w:rsidR="005C3F4A" w:rsidRDefault="005C3F4A" w:rsidP="005C3F4A">
      <w:pPr>
        <w:tabs>
          <w:tab w:val="left" w:pos="0"/>
          <w:tab w:val="left" w:pos="1080"/>
          <w:tab w:val="center" w:pos="4590"/>
          <w:tab w:val="left" w:pos="7440"/>
        </w:tabs>
        <w:jc w:val="center"/>
        <w:rPr>
          <w:rFonts w:asciiTheme="minorHAnsi" w:hAnsiTheme="minorHAnsi" w:cstheme="minorHAnsi"/>
          <w:b/>
          <w:szCs w:val="22"/>
          <w:lang w:val="en-GB"/>
        </w:rPr>
      </w:pPr>
    </w:p>
    <w:p w:rsidR="005C3F4A" w:rsidRDefault="005C3F4A" w:rsidP="005C3F4A">
      <w:pPr>
        <w:tabs>
          <w:tab w:val="left" w:pos="0"/>
          <w:tab w:val="left" w:pos="1080"/>
          <w:tab w:val="center" w:pos="4590"/>
          <w:tab w:val="left" w:pos="7440"/>
        </w:tabs>
        <w:jc w:val="center"/>
        <w:rPr>
          <w:rFonts w:asciiTheme="minorHAnsi" w:hAnsiTheme="minorHAnsi" w:cstheme="minorHAnsi"/>
          <w:b/>
          <w:szCs w:val="22"/>
          <w:lang w:val="en-GB"/>
        </w:rPr>
      </w:pPr>
    </w:p>
    <w:p w:rsidR="005C3F4A" w:rsidRPr="009C52E8" w:rsidRDefault="005C3F4A" w:rsidP="005C3F4A">
      <w:pPr>
        <w:tabs>
          <w:tab w:val="left" w:pos="0"/>
          <w:tab w:val="left" w:pos="1080"/>
          <w:tab w:val="center" w:pos="4590"/>
          <w:tab w:val="left" w:pos="7440"/>
        </w:tabs>
        <w:jc w:val="center"/>
        <w:rPr>
          <w:rFonts w:asciiTheme="minorHAnsi" w:hAnsiTheme="minorHAnsi" w:cstheme="minorHAnsi"/>
          <w:b/>
          <w:szCs w:val="22"/>
          <w:lang w:val="en-GB"/>
        </w:rPr>
      </w:pPr>
      <w:r>
        <w:rPr>
          <w:rFonts w:asciiTheme="minorHAnsi" w:hAnsiTheme="minorHAnsi" w:cstheme="minorHAnsi"/>
          <w:b/>
          <w:szCs w:val="22"/>
          <w:lang w:val="en-GB"/>
        </w:rPr>
        <w:t>2013 ANNUAL</w:t>
      </w:r>
      <w:r w:rsidRPr="009C52E8">
        <w:rPr>
          <w:rFonts w:asciiTheme="minorHAnsi" w:hAnsiTheme="minorHAnsi" w:cstheme="minorHAnsi"/>
          <w:b/>
          <w:szCs w:val="22"/>
          <w:lang w:val="en-GB"/>
        </w:rPr>
        <w:t xml:space="preserve"> NARRATIVE REPORT</w:t>
      </w:r>
    </w:p>
    <w:p w:rsidR="005C3F4A" w:rsidRDefault="005C3F4A" w:rsidP="005C3F4A">
      <w:pPr>
        <w:jc w:val="center"/>
        <w:rPr>
          <w:b/>
          <w:szCs w:val="22"/>
        </w:rPr>
      </w:pPr>
      <w:r w:rsidRPr="0025459C">
        <w:rPr>
          <w:b/>
          <w:szCs w:val="22"/>
        </w:rPr>
        <w:t xml:space="preserve">Reporting period: </w:t>
      </w:r>
    </w:p>
    <w:p w:rsidR="005C3F4A" w:rsidRPr="0025459C" w:rsidRDefault="005C3F4A" w:rsidP="005C3F4A">
      <w:pPr>
        <w:jc w:val="center"/>
        <w:rPr>
          <w:b/>
          <w:caps/>
          <w:szCs w:val="22"/>
        </w:rPr>
      </w:pPr>
      <w:r>
        <w:rPr>
          <w:b/>
          <w:szCs w:val="22"/>
        </w:rPr>
        <w:t>01 Jan</w:t>
      </w:r>
      <w:r w:rsidRPr="0025459C">
        <w:rPr>
          <w:b/>
          <w:szCs w:val="22"/>
        </w:rPr>
        <w:t xml:space="preserve"> – </w:t>
      </w:r>
      <w:r w:rsidR="006F7B63">
        <w:rPr>
          <w:b/>
          <w:szCs w:val="22"/>
        </w:rPr>
        <w:t>31 Dec</w:t>
      </w:r>
      <w:r>
        <w:rPr>
          <w:b/>
          <w:szCs w:val="22"/>
        </w:rPr>
        <w:t xml:space="preserve"> 2013</w:t>
      </w:r>
      <w:r w:rsidRPr="0025459C">
        <w:rPr>
          <w:b/>
          <w:szCs w:val="22"/>
        </w:rPr>
        <w:t xml:space="preserve"> </w:t>
      </w:r>
    </w:p>
    <w:p w:rsidR="005C3F4A" w:rsidRDefault="005C3F4A" w:rsidP="005C3F4A">
      <w:pPr>
        <w:tabs>
          <w:tab w:val="left" w:pos="0"/>
        </w:tabs>
        <w:jc w:val="center"/>
        <w:rPr>
          <w:rFonts w:ascii="Times New Roman" w:hAnsi="Times New Roman" w:cs="Times New Roman"/>
          <w:b/>
          <w:sz w:val="24"/>
          <w:szCs w:val="24"/>
        </w:rPr>
      </w:pPr>
    </w:p>
    <w:p w:rsidR="005C3F4A" w:rsidRDefault="005C3F4A" w:rsidP="005C3F4A">
      <w:pPr>
        <w:tabs>
          <w:tab w:val="left" w:pos="0"/>
        </w:tabs>
        <w:jc w:val="center"/>
        <w:rPr>
          <w:rFonts w:ascii="Times New Roman" w:hAnsi="Times New Roman" w:cs="Times New Roman"/>
          <w:b/>
          <w:sz w:val="24"/>
          <w:szCs w:val="24"/>
        </w:rPr>
      </w:pPr>
    </w:p>
    <w:p w:rsidR="005C3F4A" w:rsidRDefault="005C3F4A" w:rsidP="005C3F4A">
      <w:pPr>
        <w:tabs>
          <w:tab w:val="left" w:pos="0"/>
        </w:tabs>
        <w:jc w:val="center"/>
        <w:rPr>
          <w:rFonts w:ascii="Times New Roman" w:hAnsi="Times New Roman" w:cs="Times New Roman"/>
          <w:b/>
          <w:sz w:val="24"/>
          <w:szCs w:val="24"/>
        </w:rPr>
      </w:pPr>
    </w:p>
    <w:p w:rsidR="005C3F4A" w:rsidRPr="005C3F4A" w:rsidRDefault="005C3F4A" w:rsidP="005C3F4A">
      <w:pPr>
        <w:tabs>
          <w:tab w:val="left" w:pos="0"/>
        </w:tabs>
        <w:jc w:val="center"/>
        <w:rPr>
          <w:rFonts w:asciiTheme="minorHAnsi" w:hAnsiTheme="minorHAnsi" w:cstheme="minorHAnsi"/>
          <w:b/>
          <w:szCs w:val="22"/>
        </w:rPr>
      </w:pPr>
      <w:r w:rsidRPr="005C3F4A">
        <w:rPr>
          <w:rFonts w:asciiTheme="minorHAnsi" w:hAnsiTheme="minorHAnsi" w:cstheme="minorHAnsi"/>
          <w:b/>
          <w:szCs w:val="22"/>
        </w:rPr>
        <w:t>Date Submitted:</w:t>
      </w:r>
    </w:p>
    <w:p w:rsidR="005C3F4A" w:rsidRDefault="006F7B63" w:rsidP="005C3F4A">
      <w:pPr>
        <w:tabs>
          <w:tab w:val="left" w:pos="0"/>
        </w:tabs>
        <w:jc w:val="center"/>
        <w:rPr>
          <w:rFonts w:asciiTheme="minorHAnsi" w:hAnsiTheme="minorHAnsi" w:cstheme="minorHAnsi"/>
          <w:b/>
          <w:szCs w:val="22"/>
        </w:rPr>
      </w:pPr>
      <w:r>
        <w:rPr>
          <w:rFonts w:asciiTheme="minorHAnsi" w:hAnsiTheme="minorHAnsi" w:cstheme="minorHAnsi"/>
          <w:b/>
          <w:szCs w:val="22"/>
        </w:rPr>
        <w:t>Mar 09</w:t>
      </w:r>
      <w:r w:rsidR="005C3F4A" w:rsidRPr="009C52E8">
        <w:rPr>
          <w:rFonts w:asciiTheme="minorHAnsi" w:hAnsiTheme="minorHAnsi" w:cstheme="minorHAnsi"/>
          <w:b/>
          <w:szCs w:val="22"/>
        </w:rPr>
        <w:t>, 2013</w:t>
      </w:r>
    </w:p>
    <w:p w:rsidR="005C3F4A" w:rsidRPr="009C52E8" w:rsidRDefault="005C3F4A" w:rsidP="005C3F4A">
      <w:pPr>
        <w:tabs>
          <w:tab w:val="left" w:pos="0"/>
        </w:tabs>
        <w:jc w:val="center"/>
        <w:rPr>
          <w:rFonts w:asciiTheme="minorHAnsi" w:hAnsiTheme="minorHAnsi" w:cstheme="minorHAnsi"/>
          <w:b/>
          <w:szCs w:val="22"/>
        </w:rPr>
      </w:pPr>
    </w:p>
    <w:tbl>
      <w:tblPr>
        <w:tblW w:w="9351" w:type="dxa"/>
        <w:tblInd w:w="108" w:type="dxa"/>
        <w:tblLayout w:type="fixed"/>
        <w:tblLook w:val="0000" w:firstRow="0" w:lastRow="0" w:firstColumn="0" w:lastColumn="0" w:noHBand="0" w:noVBand="0"/>
      </w:tblPr>
      <w:tblGrid>
        <w:gridCol w:w="2875"/>
        <w:gridCol w:w="6361"/>
        <w:gridCol w:w="115"/>
      </w:tblGrid>
      <w:tr w:rsidR="005C3F4A" w:rsidRPr="009C52E8" w:rsidTr="00280ED1">
        <w:trPr>
          <w:gridAfter w:val="1"/>
          <w:wAfter w:w="115" w:type="dxa"/>
          <w:trHeight w:val="276"/>
        </w:trPr>
        <w:tc>
          <w:tcPr>
            <w:tcW w:w="9236" w:type="dxa"/>
            <w:gridSpan w:val="2"/>
          </w:tcPr>
          <w:p w:rsidR="005C3F4A" w:rsidRPr="009C52E8" w:rsidRDefault="005C3F4A" w:rsidP="00280ED1">
            <w:pPr>
              <w:snapToGrid w:val="0"/>
              <w:spacing w:before="120" w:after="120" w:line="360" w:lineRule="auto"/>
              <w:jc w:val="center"/>
              <w:rPr>
                <w:rFonts w:asciiTheme="minorHAnsi" w:hAnsiTheme="minorHAnsi" w:cstheme="minorHAnsi"/>
                <w:b/>
                <w:szCs w:val="22"/>
              </w:rPr>
            </w:pPr>
            <w:r w:rsidRPr="009C52E8">
              <w:rPr>
                <w:rFonts w:asciiTheme="minorHAnsi" w:hAnsiTheme="minorHAnsi" w:cstheme="minorHAnsi"/>
                <w:b/>
                <w:szCs w:val="22"/>
              </w:rPr>
              <w:lastRenderedPageBreak/>
              <w:t>PROJECT INFORMATION AND RESOURCES</w:t>
            </w:r>
          </w:p>
        </w:tc>
      </w:tr>
      <w:tr w:rsidR="005C3F4A" w:rsidRPr="009C52E8" w:rsidTr="00280ED1">
        <w:trPr>
          <w:trHeight w:val="466"/>
        </w:trPr>
        <w:tc>
          <w:tcPr>
            <w:tcW w:w="2875" w:type="dxa"/>
            <w:tcBorders>
              <w:top w:val="single" w:sz="4" w:space="0" w:color="000000"/>
              <w:left w:val="single" w:sz="4" w:space="0" w:color="000000"/>
              <w:bottom w:val="single" w:sz="4" w:space="0" w:color="000000"/>
            </w:tcBorders>
            <w:shd w:val="clear" w:color="auto" w:fill="C4BC96" w:themeFill="background2" w:themeFillShade="BF"/>
          </w:tcPr>
          <w:p w:rsidR="005C3F4A" w:rsidRPr="009C52E8" w:rsidRDefault="005C3F4A" w:rsidP="00280ED1">
            <w:pPr>
              <w:snapToGrid w:val="0"/>
              <w:spacing w:before="120" w:after="0" w:line="360" w:lineRule="auto"/>
              <w:rPr>
                <w:rFonts w:asciiTheme="minorHAnsi" w:hAnsiTheme="minorHAnsi" w:cstheme="minorHAnsi"/>
                <w:szCs w:val="22"/>
              </w:rPr>
            </w:pPr>
            <w:r w:rsidRPr="009C52E8">
              <w:rPr>
                <w:rFonts w:asciiTheme="minorHAnsi" w:hAnsiTheme="minorHAnsi" w:cstheme="minorHAnsi"/>
                <w:szCs w:val="22"/>
              </w:rPr>
              <w:t>Project  title:</w:t>
            </w:r>
          </w:p>
        </w:tc>
        <w:tc>
          <w:tcPr>
            <w:tcW w:w="6476"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5C3F4A" w:rsidRPr="009C52E8" w:rsidRDefault="005C3F4A" w:rsidP="00280ED1">
            <w:pPr>
              <w:jc w:val="both"/>
              <w:rPr>
                <w:rFonts w:asciiTheme="minorHAnsi" w:hAnsiTheme="minorHAnsi" w:cstheme="minorHAnsi"/>
                <w:szCs w:val="22"/>
                <w:lang w:val="en-GB"/>
              </w:rPr>
            </w:pPr>
            <w:r w:rsidRPr="009C52E8">
              <w:rPr>
                <w:rFonts w:asciiTheme="minorHAnsi" w:hAnsiTheme="minorHAnsi" w:cstheme="minorHAnsi"/>
                <w:szCs w:val="22"/>
                <w:lang w:val="en-GB"/>
              </w:rPr>
              <w:t xml:space="preserve">Sustainable Microfinance to Improve Livelihoods of the Poor </w:t>
            </w:r>
          </w:p>
          <w:p w:rsidR="005C3F4A" w:rsidRPr="009C52E8" w:rsidRDefault="005C3F4A" w:rsidP="00280ED1">
            <w:pPr>
              <w:jc w:val="both"/>
              <w:rPr>
                <w:rFonts w:asciiTheme="minorHAnsi" w:hAnsiTheme="minorHAnsi" w:cstheme="minorHAnsi"/>
                <w:caps/>
                <w:szCs w:val="22"/>
                <w:lang w:val="en-GB"/>
              </w:rPr>
            </w:pPr>
            <w:r>
              <w:rPr>
                <w:rFonts w:asciiTheme="minorHAnsi" w:hAnsiTheme="minorHAnsi" w:cstheme="minorHAnsi"/>
                <w:szCs w:val="22"/>
                <w:lang w:val="en-GB"/>
              </w:rPr>
              <w:t>MOA Number:</w:t>
            </w:r>
            <w:r w:rsidRPr="009C52E8">
              <w:rPr>
                <w:rFonts w:asciiTheme="minorHAnsi" w:hAnsiTheme="minorHAnsi" w:cstheme="minorHAnsi"/>
                <w:szCs w:val="22"/>
                <w:lang w:val="en-GB"/>
              </w:rPr>
              <w:t xml:space="preserve"> </w:t>
            </w:r>
            <w:r>
              <w:rPr>
                <w:rFonts w:asciiTheme="minorHAnsi" w:hAnsiTheme="minorHAnsi" w:cstheme="minorHAnsi"/>
                <w:szCs w:val="22"/>
                <w:lang w:val="en-GB"/>
              </w:rPr>
              <w:t xml:space="preserve">MOA </w:t>
            </w:r>
            <w:r w:rsidRPr="009C52E8">
              <w:rPr>
                <w:rFonts w:asciiTheme="minorHAnsi" w:hAnsiTheme="minorHAnsi" w:cstheme="minorHAnsi"/>
                <w:szCs w:val="22"/>
                <w:lang w:val="en-GB"/>
              </w:rPr>
              <w:t>R1.3/0011/2012</w:t>
            </w:r>
          </w:p>
        </w:tc>
      </w:tr>
      <w:tr w:rsidR="005C3F4A" w:rsidRPr="009C52E8" w:rsidTr="00280ED1">
        <w:trPr>
          <w:trHeight w:val="253"/>
        </w:trPr>
        <w:tc>
          <w:tcPr>
            <w:tcW w:w="2875" w:type="dxa"/>
            <w:tcBorders>
              <w:top w:val="single" w:sz="4" w:space="0" w:color="000000"/>
              <w:left w:val="single" w:sz="4" w:space="0" w:color="000000"/>
              <w:bottom w:val="single" w:sz="4" w:space="0" w:color="000000"/>
            </w:tcBorders>
          </w:tcPr>
          <w:p w:rsidR="005C3F4A" w:rsidRPr="009C52E8" w:rsidRDefault="005C3F4A" w:rsidP="00280ED1">
            <w:pPr>
              <w:snapToGrid w:val="0"/>
              <w:spacing w:after="0" w:line="240" w:lineRule="auto"/>
              <w:rPr>
                <w:rFonts w:asciiTheme="minorHAnsi" w:hAnsiTheme="minorHAnsi" w:cstheme="minorHAnsi"/>
                <w:szCs w:val="22"/>
              </w:rPr>
            </w:pPr>
            <w:r w:rsidRPr="009C52E8">
              <w:rPr>
                <w:rFonts w:asciiTheme="minorHAnsi" w:hAnsiTheme="minorHAnsi" w:cstheme="minorHAnsi"/>
                <w:szCs w:val="22"/>
              </w:rPr>
              <w:t>Implementing Partner(s)  and local Partner(s)</w:t>
            </w:r>
          </w:p>
        </w:tc>
        <w:tc>
          <w:tcPr>
            <w:tcW w:w="6476" w:type="dxa"/>
            <w:gridSpan w:val="2"/>
            <w:tcBorders>
              <w:top w:val="single" w:sz="4" w:space="0" w:color="000000"/>
              <w:left w:val="single" w:sz="4" w:space="0" w:color="000000"/>
              <w:bottom w:val="single" w:sz="4" w:space="0" w:color="000000"/>
              <w:right w:val="single" w:sz="4" w:space="0" w:color="000000"/>
            </w:tcBorders>
          </w:tcPr>
          <w:p w:rsidR="005C3F4A" w:rsidRPr="009C52E8" w:rsidRDefault="005C3F4A" w:rsidP="00280ED1">
            <w:pPr>
              <w:snapToGrid w:val="0"/>
              <w:spacing w:after="0" w:line="240" w:lineRule="auto"/>
              <w:rPr>
                <w:rFonts w:asciiTheme="minorHAnsi" w:hAnsiTheme="minorHAnsi" w:cstheme="minorHAnsi"/>
                <w:szCs w:val="22"/>
              </w:rPr>
            </w:pPr>
            <w:r w:rsidRPr="009C52E8">
              <w:rPr>
                <w:rFonts w:asciiTheme="minorHAnsi" w:hAnsiTheme="minorHAnsi" w:cstheme="minorHAnsi"/>
                <w:szCs w:val="22"/>
              </w:rPr>
              <w:t>The United Nations Development Programme (Myanmar) and</w:t>
            </w:r>
          </w:p>
          <w:p w:rsidR="005C3F4A" w:rsidRPr="009C52E8" w:rsidRDefault="005C3F4A" w:rsidP="00280ED1">
            <w:pPr>
              <w:snapToGrid w:val="0"/>
              <w:spacing w:after="0" w:line="240" w:lineRule="auto"/>
              <w:rPr>
                <w:rFonts w:asciiTheme="minorHAnsi" w:hAnsiTheme="minorHAnsi" w:cstheme="minorHAnsi"/>
                <w:szCs w:val="22"/>
              </w:rPr>
            </w:pPr>
            <w:r w:rsidRPr="009C52E8">
              <w:rPr>
                <w:rFonts w:asciiTheme="minorHAnsi" w:hAnsiTheme="minorHAnsi" w:cstheme="minorHAnsi"/>
                <w:szCs w:val="22"/>
              </w:rPr>
              <w:t xml:space="preserve">PACT Myanmar </w:t>
            </w:r>
          </w:p>
          <w:p w:rsidR="005C3F4A" w:rsidRPr="009C52E8" w:rsidRDefault="005C3F4A" w:rsidP="00280ED1">
            <w:pPr>
              <w:snapToGrid w:val="0"/>
              <w:spacing w:after="0" w:line="240" w:lineRule="auto"/>
              <w:rPr>
                <w:rFonts w:asciiTheme="minorHAnsi" w:hAnsiTheme="minorHAnsi" w:cstheme="minorHAnsi"/>
                <w:szCs w:val="22"/>
              </w:rPr>
            </w:pPr>
          </w:p>
        </w:tc>
      </w:tr>
      <w:tr w:rsidR="005C3F4A" w:rsidRPr="009C52E8" w:rsidTr="00280ED1">
        <w:trPr>
          <w:trHeight w:val="370"/>
        </w:trPr>
        <w:tc>
          <w:tcPr>
            <w:tcW w:w="2875" w:type="dxa"/>
            <w:tcBorders>
              <w:top w:val="single" w:sz="4" w:space="0" w:color="000000"/>
              <w:left w:val="single" w:sz="4" w:space="0" w:color="000000"/>
              <w:bottom w:val="single" w:sz="4" w:space="0" w:color="000000"/>
            </w:tcBorders>
          </w:tcPr>
          <w:p w:rsidR="005C3F4A" w:rsidRPr="009C52E8" w:rsidRDefault="005C3F4A" w:rsidP="00280ED1">
            <w:pPr>
              <w:snapToGrid w:val="0"/>
              <w:spacing w:after="0" w:line="360" w:lineRule="auto"/>
              <w:rPr>
                <w:rFonts w:asciiTheme="minorHAnsi" w:hAnsiTheme="minorHAnsi" w:cstheme="minorHAnsi"/>
                <w:szCs w:val="22"/>
              </w:rPr>
            </w:pPr>
            <w:r w:rsidRPr="009C52E8">
              <w:rPr>
                <w:rFonts w:asciiTheme="minorHAnsi" w:hAnsiTheme="minorHAnsi" w:cstheme="minorHAnsi"/>
                <w:szCs w:val="22"/>
              </w:rPr>
              <w:t>Responsible Person:</w:t>
            </w:r>
          </w:p>
        </w:tc>
        <w:tc>
          <w:tcPr>
            <w:tcW w:w="6476" w:type="dxa"/>
            <w:gridSpan w:val="2"/>
            <w:tcBorders>
              <w:top w:val="single" w:sz="4" w:space="0" w:color="000000"/>
              <w:left w:val="single" w:sz="4" w:space="0" w:color="000000"/>
              <w:bottom w:val="single" w:sz="4" w:space="0" w:color="000000"/>
              <w:right w:val="single" w:sz="4" w:space="0" w:color="000000"/>
            </w:tcBorders>
          </w:tcPr>
          <w:p w:rsidR="005C3F4A" w:rsidRPr="009C52E8" w:rsidRDefault="005C3F4A" w:rsidP="00280ED1">
            <w:pPr>
              <w:snapToGrid w:val="0"/>
              <w:spacing w:after="0" w:line="240" w:lineRule="auto"/>
              <w:rPr>
                <w:rFonts w:asciiTheme="minorHAnsi" w:hAnsiTheme="minorHAnsi" w:cstheme="minorHAnsi"/>
                <w:szCs w:val="22"/>
              </w:rPr>
            </w:pPr>
            <w:r w:rsidRPr="009C52E8">
              <w:rPr>
                <w:rFonts w:asciiTheme="minorHAnsi" w:hAnsiTheme="minorHAnsi" w:cstheme="minorHAnsi"/>
                <w:szCs w:val="22"/>
                <w:lang w:val="en-GB"/>
              </w:rPr>
              <w:t>Resident  Representative, UNDP Myanmar</w:t>
            </w:r>
          </w:p>
        </w:tc>
      </w:tr>
      <w:tr w:rsidR="005C3F4A" w:rsidRPr="009C52E8" w:rsidTr="00280ED1">
        <w:trPr>
          <w:trHeight w:val="352"/>
        </w:trPr>
        <w:tc>
          <w:tcPr>
            <w:tcW w:w="2875" w:type="dxa"/>
            <w:tcBorders>
              <w:top w:val="single" w:sz="4" w:space="0" w:color="000000"/>
              <w:left w:val="single" w:sz="4" w:space="0" w:color="000000"/>
              <w:bottom w:val="single" w:sz="4" w:space="0" w:color="000000"/>
            </w:tcBorders>
          </w:tcPr>
          <w:p w:rsidR="005C3F4A" w:rsidRPr="009C52E8" w:rsidRDefault="005C3F4A" w:rsidP="00280ED1">
            <w:pPr>
              <w:snapToGrid w:val="0"/>
              <w:spacing w:before="120" w:after="120" w:line="360" w:lineRule="auto"/>
              <w:rPr>
                <w:rFonts w:asciiTheme="minorHAnsi" w:hAnsiTheme="minorHAnsi" w:cstheme="minorHAnsi"/>
                <w:szCs w:val="22"/>
              </w:rPr>
            </w:pPr>
            <w:r w:rsidRPr="009C52E8">
              <w:rPr>
                <w:rFonts w:asciiTheme="minorHAnsi" w:hAnsiTheme="minorHAnsi" w:cstheme="minorHAnsi"/>
                <w:szCs w:val="22"/>
              </w:rPr>
              <w:t>Contact email:</w:t>
            </w:r>
          </w:p>
        </w:tc>
        <w:tc>
          <w:tcPr>
            <w:tcW w:w="6476" w:type="dxa"/>
            <w:gridSpan w:val="2"/>
            <w:tcBorders>
              <w:top w:val="single" w:sz="4" w:space="0" w:color="000000"/>
              <w:left w:val="single" w:sz="4" w:space="0" w:color="000000"/>
              <w:bottom w:val="single" w:sz="4" w:space="0" w:color="000000"/>
              <w:right w:val="single" w:sz="4" w:space="0" w:color="000000"/>
            </w:tcBorders>
          </w:tcPr>
          <w:p w:rsidR="005C3F4A" w:rsidRPr="009C52E8" w:rsidRDefault="00C4043F" w:rsidP="00280ED1">
            <w:pPr>
              <w:snapToGrid w:val="0"/>
              <w:spacing w:before="120" w:after="120" w:line="360" w:lineRule="auto"/>
              <w:rPr>
                <w:rFonts w:asciiTheme="minorHAnsi" w:hAnsiTheme="minorHAnsi" w:cstheme="minorHAnsi"/>
                <w:szCs w:val="22"/>
              </w:rPr>
            </w:pPr>
            <w:hyperlink r:id="rId9" w:history="1"/>
            <w:r w:rsidR="005C3F4A" w:rsidRPr="009C52E8">
              <w:rPr>
                <w:rStyle w:val="Hyperlink"/>
                <w:rFonts w:asciiTheme="minorHAnsi" w:hAnsiTheme="minorHAnsi" w:cstheme="minorHAnsi"/>
                <w:szCs w:val="22"/>
                <w:lang w:val="en-GB"/>
              </w:rPr>
              <w:t>registry.mm@undp.org</w:t>
            </w:r>
          </w:p>
        </w:tc>
      </w:tr>
    </w:tbl>
    <w:p w:rsidR="005C3F4A" w:rsidRPr="009C52E8" w:rsidRDefault="005C3F4A" w:rsidP="005C3F4A">
      <w:pPr>
        <w:spacing w:before="120" w:after="120" w:line="360" w:lineRule="auto"/>
        <w:rPr>
          <w:rFonts w:asciiTheme="minorHAnsi" w:hAnsiTheme="minorHAnsi" w:cstheme="minorHAnsi"/>
          <w:szCs w:val="22"/>
        </w:rPr>
      </w:pPr>
    </w:p>
    <w:tbl>
      <w:tblPr>
        <w:tblW w:w="0" w:type="auto"/>
        <w:tblInd w:w="108" w:type="dxa"/>
        <w:tblLayout w:type="fixed"/>
        <w:tblLook w:val="0000" w:firstRow="0" w:lastRow="0" w:firstColumn="0" w:lastColumn="0" w:noHBand="0" w:noVBand="0"/>
      </w:tblPr>
      <w:tblGrid>
        <w:gridCol w:w="2277"/>
        <w:gridCol w:w="2348"/>
        <w:gridCol w:w="2270"/>
        <w:gridCol w:w="2456"/>
      </w:tblGrid>
      <w:tr w:rsidR="005C3F4A" w:rsidRPr="0025459C" w:rsidTr="00280ED1">
        <w:trPr>
          <w:trHeight w:val="253"/>
        </w:trPr>
        <w:tc>
          <w:tcPr>
            <w:tcW w:w="4625" w:type="dxa"/>
            <w:gridSpan w:val="2"/>
            <w:tcBorders>
              <w:top w:val="single" w:sz="4" w:space="0" w:color="000000"/>
              <w:left w:val="single" w:sz="4" w:space="0" w:color="000000"/>
              <w:bottom w:val="single" w:sz="4" w:space="0" w:color="000000"/>
            </w:tcBorders>
            <w:shd w:val="clear" w:color="auto" w:fill="C4BC96" w:themeFill="background2" w:themeFillShade="BF"/>
          </w:tcPr>
          <w:p w:rsidR="005C3F4A" w:rsidRPr="0025459C" w:rsidRDefault="005C3F4A" w:rsidP="00280ED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Project Starting date</w:t>
            </w:r>
          </w:p>
        </w:tc>
        <w:tc>
          <w:tcPr>
            <w:tcW w:w="4726"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5C3F4A" w:rsidRPr="0025459C" w:rsidRDefault="005C3F4A" w:rsidP="00280ED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Project completion date</w:t>
            </w:r>
          </w:p>
        </w:tc>
      </w:tr>
      <w:tr w:rsidR="005C3F4A" w:rsidRPr="009C52E8" w:rsidTr="00280ED1">
        <w:tblPrEx>
          <w:tblCellMar>
            <w:top w:w="43" w:type="dxa"/>
            <w:left w:w="58" w:type="dxa"/>
            <w:right w:w="58" w:type="dxa"/>
          </w:tblCellMar>
        </w:tblPrEx>
        <w:trPr>
          <w:trHeight w:val="253"/>
        </w:trPr>
        <w:tc>
          <w:tcPr>
            <w:tcW w:w="2277" w:type="dxa"/>
            <w:tcBorders>
              <w:top w:val="single" w:sz="4" w:space="0" w:color="000000"/>
              <w:left w:val="single" w:sz="4" w:space="0" w:color="000000"/>
              <w:bottom w:val="single" w:sz="4" w:space="0" w:color="000000"/>
            </w:tcBorders>
          </w:tcPr>
          <w:p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Originally planned</w:t>
            </w:r>
          </w:p>
        </w:tc>
        <w:tc>
          <w:tcPr>
            <w:tcW w:w="2348" w:type="dxa"/>
            <w:tcBorders>
              <w:top w:val="single" w:sz="4" w:space="0" w:color="000000"/>
              <w:left w:val="single" w:sz="4" w:space="0" w:color="000000"/>
              <w:bottom w:val="single" w:sz="4" w:space="0" w:color="000000"/>
            </w:tcBorders>
          </w:tcPr>
          <w:p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Actual</w:t>
            </w:r>
          </w:p>
        </w:tc>
        <w:tc>
          <w:tcPr>
            <w:tcW w:w="2270" w:type="dxa"/>
            <w:tcBorders>
              <w:top w:val="single" w:sz="4" w:space="0" w:color="000000"/>
              <w:left w:val="single" w:sz="4" w:space="0" w:color="000000"/>
              <w:bottom w:val="single" w:sz="4" w:space="0" w:color="000000"/>
            </w:tcBorders>
          </w:tcPr>
          <w:p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Originally planned</w:t>
            </w:r>
          </w:p>
        </w:tc>
        <w:tc>
          <w:tcPr>
            <w:tcW w:w="2456" w:type="dxa"/>
            <w:tcBorders>
              <w:top w:val="single" w:sz="4" w:space="0" w:color="000000"/>
              <w:left w:val="single" w:sz="4" w:space="0" w:color="000000"/>
              <w:bottom w:val="single" w:sz="4" w:space="0" w:color="000000"/>
              <w:right w:val="single" w:sz="4" w:space="0" w:color="000000"/>
            </w:tcBorders>
          </w:tcPr>
          <w:p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Current estimate</w:t>
            </w:r>
          </w:p>
        </w:tc>
      </w:tr>
      <w:tr w:rsidR="005C3F4A" w:rsidRPr="009C52E8" w:rsidTr="00280ED1">
        <w:tblPrEx>
          <w:tblCellMar>
            <w:top w:w="43" w:type="dxa"/>
            <w:left w:w="58" w:type="dxa"/>
            <w:right w:w="58" w:type="dxa"/>
          </w:tblCellMar>
        </w:tblPrEx>
        <w:trPr>
          <w:trHeight w:val="280"/>
        </w:trPr>
        <w:tc>
          <w:tcPr>
            <w:tcW w:w="2277" w:type="dxa"/>
            <w:tcBorders>
              <w:top w:val="single" w:sz="4" w:space="0" w:color="000000"/>
              <w:left w:val="single" w:sz="4" w:space="0" w:color="000000"/>
              <w:bottom w:val="single" w:sz="4" w:space="0" w:color="000000"/>
            </w:tcBorders>
            <w:shd w:val="clear" w:color="auto" w:fill="auto"/>
          </w:tcPr>
          <w:p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February 2012</w:t>
            </w:r>
          </w:p>
        </w:tc>
        <w:tc>
          <w:tcPr>
            <w:tcW w:w="2348" w:type="dxa"/>
            <w:tcBorders>
              <w:top w:val="single" w:sz="4" w:space="0" w:color="000000"/>
              <w:left w:val="single" w:sz="4" w:space="0" w:color="000000"/>
              <w:bottom w:val="single" w:sz="4" w:space="0" w:color="000000"/>
            </w:tcBorders>
            <w:shd w:val="clear" w:color="auto" w:fill="auto"/>
          </w:tcPr>
          <w:p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June 2012</w:t>
            </w:r>
          </w:p>
        </w:tc>
        <w:tc>
          <w:tcPr>
            <w:tcW w:w="2270" w:type="dxa"/>
            <w:tcBorders>
              <w:top w:val="single" w:sz="4" w:space="0" w:color="000000"/>
              <w:left w:val="single" w:sz="4" w:space="0" w:color="000000"/>
              <w:bottom w:val="single" w:sz="4" w:space="0" w:color="000000"/>
            </w:tcBorders>
            <w:shd w:val="clear" w:color="auto" w:fill="auto"/>
          </w:tcPr>
          <w:p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February 2015</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February 2015</w:t>
            </w:r>
          </w:p>
        </w:tc>
      </w:tr>
    </w:tbl>
    <w:p w:rsidR="005C3F4A" w:rsidRPr="009C52E8" w:rsidRDefault="005C3F4A" w:rsidP="005C3F4A">
      <w:pPr>
        <w:spacing w:before="120" w:after="120" w:line="360" w:lineRule="auto"/>
        <w:rPr>
          <w:rFonts w:asciiTheme="minorHAnsi" w:hAnsiTheme="minorHAnsi" w:cstheme="minorHAnsi"/>
          <w:szCs w:val="22"/>
        </w:rPr>
      </w:pPr>
    </w:p>
    <w:tbl>
      <w:tblPr>
        <w:tblW w:w="0" w:type="auto"/>
        <w:tblInd w:w="58" w:type="dxa"/>
        <w:tblLayout w:type="fixed"/>
        <w:tblCellMar>
          <w:top w:w="58" w:type="dxa"/>
          <w:left w:w="58" w:type="dxa"/>
          <w:right w:w="58" w:type="dxa"/>
        </w:tblCellMar>
        <w:tblLook w:val="0000" w:firstRow="0" w:lastRow="0" w:firstColumn="0" w:lastColumn="0" w:noHBand="0" w:noVBand="0"/>
      </w:tblPr>
      <w:tblGrid>
        <w:gridCol w:w="4110"/>
        <w:gridCol w:w="5245"/>
      </w:tblGrid>
      <w:tr w:rsidR="005C3F4A" w:rsidRPr="0025459C" w:rsidTr="00280ED1">
        <w:trPr>
          <w:trHeight w:val="253"/>
        </w:trPr>
        <w:tc>
          <w:tcPr>
            <w:tcW w:w="4110" w:type="dxa"/>
            <w:tcBorders>
              <w:top w:val="single" w:sz="4" w:space="0" w:color="000000"/>
              <w:left w:val="single" w:sz="4" w:space="0" w:color="000000"/>
              <w:bottom w:val="single" w:sz="4" w:space="0" w:color="000000"/>
            </w:tcBorders>
            <w:shd w:val="clear" w:color="auto" w:fill="C4BC96" w:themeFill="background2" w:themeFillShade="BF"/>
            <w:vAlign w:val="center"/>
          </w:tcPr>
          <w:p w:rsidR="005C3F4A" w:rsidRPr="0025459C" w:rsidRDefault="005C3F4A" w:rsidP="00280ED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Approved Total Budget</w:t>
            </w:r>
          </w:p>
        </w:tc>
        <w:tc>
          <w:tcPr>
            <w:tcW w:w="524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5C3F4A" w:rsidRPr="0025459C" w:rsidRDefault="005C3F4A" w:rsidP="00280ED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Latest Signed Revision (US$)</w:t>
            </w:r>
          </w:p>
        </w:tc>
      </w:tr>
      <w:tr w:rsidR="005C3F4A" w:rsidRPr="009C52E8" w:rsidTr="00280ED1">
        <w:trPr>
          <w:trHeight w:val="313"/>
        </w:trPr>
        <w:tc>
          <w:tcPr>
            <w:tcW w:w="4110" w:type="dxa"/>
            <w:tcBorders>
              <w:top w:val="single" w:sz="4" w:space="0" w:color="000000"/>
              <w:left w:val="single" w:sz="4" w:space="0" w:color="000000"/>
              <w:bottom w:val="single" w:sz="4" w:space="0" w:color="000000"/>
            </w:tcBorders>
            <w:vAlign w:val="center"/>
          </w:tcPr>
          <w:p w:rsidR="005C3F4A" w:rsidRPr="009C52E8" w:rsidRDefault="005C3F4A" w:rsidP="00280ED1">
            <w:pPr>
              <w:snapToGrid w:val="0"/>
              <w:spacing w:before="120" w:after="120" w:line="360" w:lineRule="auto"/>
              <w:jc w:val="center"/>
              <w:rPr>
                <w:rFonts w:asciiTheme="minorHAnsi" w:hAnsiTheme="minorHAnsi" w:cstheme="minorHAnsi"/>
                <w:bCs/>
                <w:color w:val="365F91" w:themeColor="accent1" w:themeShade="BF"/>
                <w:szCs w:val="22"/>
              </w:rPr>
            </w:pPr>
            <w:r w:rsidRPr="009C52E8">
              <w:rPr>
                <w:rFonts w:asciiTheme="minorHAnsi" w:hAnsiTheme="minorHAnsi" w:cstheme="minorHAnsi"/>
                <w:szCs w:val="22"/>
              </w:rPr>
              <w:t>US$ 6,000,000</w:t>
            </w:r>
          </w:p>
        </w:tc>
        <w:tc>
          <w:tcPr>
            <w:tcW w:w="5245" w:type="dxa"/>
            <w:tcBorders>
              <w:top w:val="single" w:sz="4" w:space="0" w:color="000000"/>
              <w:left w:val="single" w:sz="4" w:space="0" w:color="000000"/>
              <w:bottom w:val="single" w:sz="4" w:space="0" w:color="000000"/>
              <w:right w:val="single" w:sz="4" w:space="0" w:color="000000"/>
            </w:tcBorders>
            <w:vAlign w:val="center"/>
          </w:tcPr>
          <w:p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N/A</w:t>
            </w:r>
          </w:p>
        </w:tc>
      </w:tr>
    </w:tbl>
    <w:p w:rsidR="005C3F4A" w:rsidRPr="009C52E8" w:rsidRDefault="005C3F4A" w:rsidP="005C3F4A">
      <w:pPr>
        <w:spacing w:before="120" w:after="120" w:line="360" w:lineRule="auto"/>
        <w:rPr>
          <w:rFonts w:asciiTheme="minorHAnsi" w:hAnsiTheme="minorHAnsi" w:cstheme="minorHAnsi"/>
          <w:szCs w:val="22"/>
        </w:rPr>
      </w:pPr>
      <w:r w:rsidRPr="009C52E8">
        <w:rPr>
          <w:rFonts w:asciiTheme="minorHAnsi" w:hAnsiTheme="minorHAnsi" w:cstheme="minorHAnsi"/>
          <w:noProof/>
          <w:szCs w:val="22"/>
          <w:lang w:bidi="ar-SA"/>
        </w:rPr>
        <mc:AlternateContent>
          <mc:Choice Requires="wps">
            <w:drawing>
              <wp:anchor distT="0" distB="0" distL="114935" distR="114935" simplePos="0" relativeHeight="251668480" behindDoc="0" locked="0" layoutInCell="1" allowOverlap="1" wp14:anchorId="784994A4" wp14:editId="39D85156">
                <wp:simplePos x="0" y="0"/>
                <wp:positionH relativeFrom="margin">
                  <wp:posOffset>-3175</wp:posOffset>
                </wp:positionH>
                <wp:positionV relativeFrom="paragraph">
                  <wp:posOffset>379730</wp:posOffset>
                </wp:positionV>
                <wp:extent cx="5956300" cy="37909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379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8"/>
                              <w:gridCol w:w="5180"/>
                            </w:tblGrid>
                            <w:tr w:rsidR="00255002" w:rsidRPr="009C52E8" w:rsidTr="005F3376">
                              <w:trPr>
                                <w:trHeight w:val="273"/>
                              </w:trPr>
                              <w:tc>
                                <w:tcPr>
                                  <w:tcW w:w="4058" w:type="dxa"/>
                                  <w:tcBorders>
                                    <w:right w:val="single" w:sz="4" w:space="0" w:color="000000"/>
                                  </w:tcBorders>
                                  <w:shd w:val="clear" w:color="auto" w:fill="C4BC96" w:themeFill="background2" w:themeFillShade="BF"/>
                                  <w:vAlign w:val="center"/>
                                </w:tcPr>
                                <w:p w:rsidR="00255002" w:rsidRPr="009C52E8" w:rsidRDefault="00255002" w:rsidP="0058242F">
                                  <w:pPr>
                                    <w:snapToGrid w:val="0"/>
                                    <w:spacing w:before="60" w:after="60"/>
                                    <w:rPr>
                                      <w:szCs w:val="22"/>
                                    </w:rPr>
                                  </w:pPr>
                                  <w:r w:rsidRPr="009C52E8">
                                    <w:rPr>
                                      <w:szCs w:val="22"/>
                                    </w:rPr>
                                    <w:t xml:space="preserve">Period covered by this report: </w:t>
                                  </w:r>
                                </w:p>
                              </w:tc>
                              <w:tc>
                                <w:tcPr>
                                  <w:tcW w:w="518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255002" w:rsidRPr="009C52E8" w:rsidRDefault="00255002" w:rsidP="00593220">
                                  <w:pPr>
                                    <w:snapToGrid w:val="0"/>
                                    <w:spacing w:before="60" w:after="60"/>
                                    <w:jc w:val="center"/>
                                    <w:rPr>
                                      <w:szCs w:val="22"/>
                                    </w:rPr>
                                  </w:pPr>
                                  <w:r>
                                    <w:rPr>
                                      <w:szCs w:val="22"/>
                                    </w:rPr>
                                    <w:t>01 Jan - 31 Dec 2013</w:t>
                                  </w:r>
                                </w:p>
                              </w:tc>
                            </w:tr>
                          </w:tbl>
                          <w:p w:rsidR="00255002" w:rsidRDefault="00255002" w:rsidP="005C3F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994A4" id="_x0000_t202" coordsize="21600,21600" o:spt="202" path="m,l,21600r21600,l21600,xe">
                <v:stroke joinstyle="miter"/>
                <v:path gradientshapeok="t" o:connecttype="rect"/>
              </v:shapetype>
              <v:shape id="Text Box 1" o:spid="_x0000_s1026" type="#_x0000_t202" style="position:absolute;margin-left:-.25pt;margin-top:29.9pt;width:469pt;height:29.85pt;z-index:2516684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icigIAABw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" stroked="f">
                <v:fill opacity="0"/>
                <v:textbox inset="0,0,0,0">
                  <w:txbxContent>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8"/>
                        <w:gridCol w:w="5180"/>
                      </w:tblGrid>
                      <w:tr w:rsidR="00255002" w:rsidRPr="009C52E8" w:rsidTr="005F3376">
                        <w:trPr>
                          <w:trHeight w:val="273"/>
                        </w:trPr>
                        <w:tc>
                          <w:tcPr>
                            <w:tcW w:w="4058" w:type="dxa"/>
                            <w:tcBorders>
                              <w:right w:val="single" w:sz="4" w:space="0" w:color="000000"/>
                            </w:tcBorders>
                            <w:shd w:val="clear" w:color="auto" w:fill="C4BC96" w:themeFill="background2" w:themeFillShade="BF"/>
                            <w:vAlign w:val="center"/>
                          </w:tcPr>
                          <w:p w:rsidR="00255002" w:rsidRPr="009C52E8" w:rsidRDefault="00255002" w:rsidP="0058242F">
                            <w:pPr>
                              <w:snapToGrid w:val="0"/>
                              <w:spacing w:before="60" w:after="60"/>
                              <w:rPr>
                                <w:szCs w:val="22"/>
                              </w:rPr>
                            </w:pPr>
                            <w:r w:rsidRPr="009C52E8">
                              <w:rPr>
                                <w:szCs w:val="22"/>
                              </w:rPr>
                              <w:t xml:space="preserve">Period covered by this report: </w:t>
                            </w:r>
                          </w:p>
                        </w:tc>
                        <w:tc>
                          <w:tcPr>
                            <w:tcW w:w="518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255002" w:rsidRPr="009C52E8" w:rsidRDefault="00255002" w:rsidP="00593220">
                            <w:pPr>
                              <w:snapToGrid w:val="0"/>
                              <w:spacing w:before="60" w:after="60"/>
                              <w:jc w:val="center"/>
                              <w:rPr>
                                <w:szCs w:val="22"/>
                              </w:rPr>
                            </w:pPr>
                            <w:r>
                              <w:rPr>
                                <w:szCs w:val="22"/>
                              </w:rPr>
                              <w:t>01 Jan - 31 Dec 2013</w:t>
                            </w:r>
                          </w:p>
                        </w:tc>
                      </w:tr>
                    </w:tbl>
                    <w:p w:rsidR="00255002" w:rsidRDefault="00255002" w:rsidP="005C3F4A"/>
                  </w:txbxContent>
                </v:textbox>
                <w10:wrap type="square" side="largest" anchorx="margin"/>
              </v:shape>
            </w:pict>
          </mc:Fallback>
        </mc:AlternateContent>
      </w:r>
    </w:p>
    <w:tbl>
      <w:tblPr>
        <w:tblW w:w="0" w:type="auto"/>
        <w:tblInd w:w="58" w:type="dxa"/>
        <w:tblLayout w:type="fixed"/>
        <w:tblCellMar>
          <w:top w:w="58" w:type="dxa"/>
          <w:left w:w="58" w:type="dxa"/>
          <w:right w:w="58" w:type="dxa"/>
        </w:tblCellMar>
        <w:tblLook w:val="0000" w:firstRow="0" w:lastRow="0" w:firstColumn="0" w:lastColumn="0" w:noHBand="0" w:noVBand="0"/>
      </w:tblPr>
      <w:tblGrid>
        <w:gridCol w:w="4193"/>
        <w:gridCol w:w="5169"/>
      </w:tblGrid>
      <w:tr w:rsidR="005C3F4A" w:rsidRPr="0025459C" w:rsidTr="00280ED1">
        <w:trPr>
          <w:trHeight w:val="253"/>
        </w:trPr>
        <w:tc>
          <w:tcPr>
            <w:tcW w:w="4193" w:type="dxa"/>
            <w:tcBorders>
              <w:top w:val="single" w:sz="4" w:space="0" w:color="000000"/>
              <w:left w:val="single" w:sz="4" w:space="0" w:color="000000"/>
              <w:bottom w:val="single" w:sz="4" w:space="0" w:color="000000"/>
            </w:tcBorders>
            <w:shd w:val="clear" w:color="auto" w:fill="C4BC96" w:themeFill="background2" w:themeFillShade="BF"/>
            <w:vAlign w:val="center"/>
          </w:tcPr>
          <w:p w:rsidR="005C3F4A" w:rsidRPr="0025459C" w:rsidRDefault="005C3F4A" w:rsidP="00280ED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 xml:space="preserve">Annual Budget (US$) </w:t>
            </w:r>
          </w:p>
        </w:tc>
        <w:tc>
          <w:tcPr>
            <w:tcW w:w="516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5C3F4A" w:rsidRPr="0025459C" w:rsidRDefault="005C3F4A" w:rsidP="00280ED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 xml:space="preserve">Accrued Expenditure (US$) </w:t>
            </w:r>
          </w:p>
        </w:tc>
      </w:tr>
      <w:tr w:rsidR="005C3F4A" w:rsidRPr="009C52E8" w:rsidTr="00280ED1">
        <w:trPr>
          <w:trHeight w:val="464"/>
        </w:trPr>
        <w:tc>
          <w:tcPr>
            <w:tcW w:w="4193" w:type="dxa"/>
            <w:tcBorders>
              <w:top w:val="single" w:sz="4" w:space="0" w:color="000000"/>
              <w:left w:val="single" w:sz="4" w:space="0" w:color="000000"/>
              <w:bottom w:val="single" w:sz="4" w:space="0" w:color="000000"/>
            </w:tcBorders>
          </w:tcPr>
          <w:p w:rsidR="005C3F4A" w:rsidRPr="009C52E8" w:rsidRDefault="005C3F4A" w:rsidP="00280ED1">
            <w:pPr>
              <w:snapToGrid w:val="0"/>
              <w:spacing w:before="120" w:after="120" w:line="360" w:lineRule="auto"/>
              <w:jc w:val="center"/>
              <w:rPr>
                <w:rFonts w:asciiTheme="minorHAnsi" w:hAnsiTheme="minorHAnsi" w:cstheme="minorHAnsi"/>
                <w:color w:val="FF0000"/>
                <w:szCs w:val="22"/>
              </w:rPr>
            </w:pPr>
            <w:r w:rsidRPr="009C52E8">
              <w:rPr>
                <w:rFonts w:asciiTheme="minorHAnsi" w:hAnsiTheme="minorHAnsi" w:cstheme="minorHAnsi"/>
                <w:szCs w:val="22"/>
              </w:rPr>
              <w:t xml:space="preserve">US$ </w:t>
            </w:r>
            <w:r w:rsidR="006F7B63">
              <w:rPr>
                <w:rFonts w:asciiTheme="minorHAnsi" w:hAnsiTheme="minorHAnsi" w:cstheme="minorHAnsi"/>
                <w:szCs w:val="22"/>
              </w:rPr>
              <w:t>1,234,159</w:t>
            </w:r>
          </w:p>
        </w:tc>
        <w:tc>
          <w:tcPr>
            <w:tcW w:w="5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3F4A" w:rsidRPr="009C52E8" w:rsidRDefault="005C3F4A" w:rsidP="00280ED1">
            <w:pPr>
              <w:snapToGrid w:val="0"/>
              <w:spacing w:before="120" w:after="120" w:line="360" w:lineRule="auto"/>
              <w:jc w:val="center"/>
              <w:rPr>
                <w:rFonts w:asciiTheme="minorHAnsi" w:hAnsiTheme="minorHAnsi" w:cstheme="minorHAnsi"/>
                <w:color w:val="FF0000"/>
                <w:szCs w:val="22"/>
              </w:rPr>
            </w:pPr>
            <w:r w:rsidRPr="009C52E8">
              <w:rPr>
                <w:rFonts w:asciiTheme="minorHAnsi" w:hAnsiTheme="minorHAnsi" w:cstheme="minorHAnsi"/>
                <w:szCs w:val="22"/>
              </w:rPr>
              <w:t xml:space="preserve"> </w:t>
            </w:r>
            <w:r w:rsidR="006F7B63">
              <w:rPr>
                <w:rFonts w:asciiTheme="minorHAnsi" w:hAnsiTheme="minorHAnsi" w:cstheme="minorHAnsi"/>
                <w:szCs w:val="22"/>
              </w:rPr>
              <w:t>US$ 1,652,332</w:t>
            </w:r>
          </w:p>
        </w:tc>
      </w:tr>
    </w:tbl>
    <w:p w:rsidR="005C3F4A" w:rsidRDefault="005C3F4A" w:rsidP="00C0582F">
      <w:pPr>
        <w:snapToGrid w:val="0"/>
        <w:spacing w:after="0" w:line="240" w:lineRule="auto"/>
        <w:ind w:right="176"/>
        <w:jc w:val="center"/>
        <w:rPr>
          <w:b/>
        </w:rPr>
      </w:pPr>
      <w:r>
        <w:rPr>
          <w:b/>
        </w:rPr>
        <w:br w:type="page"/>
      </w:r>
    </w:p>
    <w:p w:rsidR="00E00CFF" w:rsidRPr="00097E80" w:rsidRDefault="00E00CFF" w:rsidP="005C3F4A">
      <w:pPr>
        <w:jc w:val="center"/>
        <w:rPr>
          <w:b/>
        </w:rPr>
      </w:pPr>
      <w:r w:rsidRPr="00097E80">
        <w:rPr>
          <w:b/>
        </w:rPr>
        <w:lastRenderedPageBreak/>
        <w:t>PROJECT PERFORMANCE AND RESULTS</w:t>
      </w:r>
    </w:p>
    <w:p w:rsidR="005C3F4A" w:rsidRDefault="005C3F4A" w:rsidP="00B6683A">
      <w:pPr>
        <w:tabs>
          <w:tab w:val="left" w:pos="2880"/>
        </w:tabs>
        <w:spacing w:before="120" w:after="0" w:line="240" w:lineRule="auto"/>
        <w:rPr>
          <w:b/>
          <w:szCs w:val="22"/>
        </w:rPr>
      </w:pPr>
    </w:p>
    <w:p w:rsidR="00331C5D" w:rsidRPr="00097E80" w:rsidRDefault="000809A0" w:rsidP="00B6683A">
      <w:pPr>
        <w:tabs>
          <w:tab w:val="left" w:pos="2880"/>
        </w:tabs>
        <w:spacing w:before="120" w:after="0" w:line="240" w:lineRule="auto"/>
        <w:rPr>
          <w:b/>
          <w:szCs w:val="22"/>
        </w:rPr>
      </w:pPr>
      <w:r w:rsidRPr="00E5777F">
        <w:rPr>
          <w:b/>
          <w:szCs w:val="22"/>
        </w:rPr>
        <w:t>1. Background</w:t>
      </w:r>
    </w:p>
    <w:p w:rsidR="00F9739A" w:rsidRPr="00097E80" w:rsidRDefault="003679EE" w:rsidP="000E343D">
      <w:pPr>
        <w:spacing w:before="120" w:after="0" w:line="240" w:lineRule="auto"/>
        <w:jc w:val="both"/>
        <w:rPr>
          <w:szCs w:val="22"/>
        </w:rPr>
      </w:pPr>
      <w:r w:rsidRPr="00097E80">
        <w:rPr>
          <w:szCs w:val="22"/>
        </w:rPr>
        <w:t xml:space="preserve">Cyclone Nargis, the worst natural disaster in the recorded history of Myanmar, struck the country’s Delta (Ayeyarwady) and Yangon region on May 2, 2008. The catastrophic tropical cyclone severely affected 30 percent of the population from the Delta </w:t>
      </w:r>
      <w:r w:rsidR="00590E9D" w:rsidRPr="00097E80">
        <w:rPr>
          <w:szCs w:val="22"/>
        </w:rPr>
        <w:t xml:space="preserve">region – more </w:t>
      </w:r>
      <w:r w:rsidR="00BD3CC6" w:rsidRPr="00097E80">
        <w:rPr>
          <w:szCs w:val="22"/>
        </w:rPr>
        <w:t xml:space="preserve">than 140,000 people perished </w:t>
      </w:r>
      <w:r w:rsidR="00026632" w:rsidRPr="00097E80">
        <w:rPr>
          <w:szCs w:val="22"/>
        </w:rPr>
        <w:t>and</w:t>
      </w:r>
      <w:r w:rsidR="00BD3CC6" w:rsidRPr="00097E80">
        <w:rPr>
          <w:szCs w:val="22"/>
        </w:rPr>
        <w:t xml:space="preserve"> women </w:t>
      </w:r>
      <w:r w:rsidR="00026632" w:rsidRPr="00097E80">
        <w:rPr>
          <w:szCs w:val="22"/>
        </w:rPr>
        <w:t xml:space="preserve">were </w:t>
      </w:r>
      <w:r w:rsidR="00590E9D" w:rsidRPr="00097E80">
        <w:rPr>
          <w:szCs w:val="22"/>
        </w:rPr>
        <w:t>affected</w:t>
      </w:r>
      <w:r w:rsidR="002A5D48" w:rsidRPr="00097E80">
        <w:rPr>
          <w:szCs w:val="22"/>
        </w:rPr>
        <w:t xml:space="preserve"> </w:t>
      </w:r>
      <w:r w:rsidR="00E165C7">
        <w:rPr>
          <w:szCs w:val="22"/>
        </w:rPr>
        <w:t xml:space="preserve">more </w:t>
      </w:r>
      <w:r w:rsidR="002A5D48" w:rsidRPr="00097E80">
        <w:rPr>
          <w:szCs w:val="22"/>
        </w:rPr>
        <w:t>than others</w:t>
      </w:r>
      <w:r w:rsidR="00026632" w:rsidRPr="00097E80">
        <w:rPr>
          <w:szCs w:val="22"/>
        </w:rPr>
        <w:t xml:space="preserve">. </w:t>
      </w:r>
      <w:r w:rsidR="00364C13" w:rsidRPr="00097E80">
        <w:rPr>
          <w:szCs w:val="22"/>
        </w:rPr>
        <w:t xml:space="preserve">Many </w:t>
      </w:r>
      <w:r w:rsidR="00C5557E">
        <w:rPr>
          <w:szCs w:val="22"/>
        </w:rPr>
        <w:t xml:space="preserve">married </w:t>
      </w:r>
      <w:r w:rsidR="00364C13" w:rsidRPr="00097E80">
        <w:rPr>
          <w:szCs w:val="22"/>
        </w:rPr>
        <w:t xml:space="preserve">women </w:t>
      </w:r>
      <w:r w:rsidR="00E165C7">
        <w:rPr>
          <w:szCs w:val="22"/>
        </w:rPr>
        <w:t>became</w:t>
      </w:r>
      <w:r w:rsidR="00364C13" w:rsidRPr="00097E80">
        <w:rPr>
          <w:szCs w:val="22"/>
        </w:rPr>
        <w:t xml:space="preserve"> widow</w:t>
      </w:r>
      <w:r w:rsidR="00E04489">
        <w:rPr>
          <w:szCs w:val="22"/>
        </w:rPr>
        <w:t>s</w:t>
      </w:r>
      <w:r w:rsidR="00364C13" w:rsidRPr="00097E80">
        <w:rPr>
          <w:szCs w:val="22"/>
        </w:rPr>
        <w:t xml:space="preserve"> in the </w:t>
      </w:r>
      <w:r w:rsidR="00026632" w:rsidRPr="00097E80">
        <w:rPr>
          <w:szCs w:val="22"/>
        </w:rPr>
        <w:t xml:space="preserve">aftermath of </w:t>
      </w:r>
      <w:r w:rsidR="00364C13" w:rsidRPr="00097E80">
        <w:rPr>
          <w:szCs w:val="22"/>
        </w:rPr>
        <w:t>the c</w:t>
      </w:r>
      <w:r w:rsidR="00026632" w:rsidRPr="00097E80">
        <w:rPr>
          <w:szCs w:val="22"/>
        </w:rPr>
        <w:t xml:space="preserve">yclone </w:t>
      </w:r>
      <w:r w:rsidR="00364C13" w:rsidRPr="00097E80">
        <w:rPr>
          <w:szCs w:val="22"/>
        </w:rPr>
        <w:t>and a lot of</w:t>
      </w:r>
      <w:r w:rsidR="00C5557E">
        <w:rPr>
          <w:szCs w:val="22"/>
        </w:rPr>
        <w:t xml:space="preserve"> </w:t>
      </w:r>
      <w:r w:rsidR="00E165C7">
        <w:rPr>
          <w:szCs w:val="22"/>
        </w:rPr>
        <w:t xml:space="preserve">other </w:t>
      </w:r>
      <w:r w:rsidR="00364C13" w:rsidRPr="00097E80">
        <w:rPr>
          <w:szCs w:val="22"/>
        </w:rPr>
        <w:t>women</w:t>
      </w:r>
      <w:r w:rsidR="00C5557E">
        <w:rPr>
          <w:szCs w:val="22"/>
        </w:rPr>
        <w:t xml:space="preserve"> </w:t>
      </w:r>
      <w:r w:rsidR="00364C13" w:rsidRPr="00097E80">
        <w:rPr>
          <w:szCs w:val="22"/>
        </w:rPr>
        <w:t xml:space="preserve">were </w:t>
      </w:r>
      <w:r w:rsidR="00BD3CC6" w:rsidRPr="00097E80">
        <w:rPr>
          <w:szCs w:val="22"/>
        </w:rPr>
        <w:t>left to run their households alone</w:t>
      </w:r>
      <w:r w:rsidR="00026632" w:rsidRPr="00097E80">
        <w:rPr>
          <w:szCs w:val="22"/>
        </w:rPr>
        <w:t xml:space="preserve"> as their husbands</w:t>
      </w:r>
      <w:r w:rsidR="00C5557E">
        <w:rPr>
          <w:szCs w:val="22"/>
        </w:rPr>
        <w:t xml:space="preserve"> </w:t>
      </w:r>
      <w:r w:rsidR="00026632" w:rsidRPr="00097E80">
        <w:rPr>
          <w:szCs w:val="22"/>
        </w:rPr>
        <w:t xml:space="preserve">migrated outside the region to find work. </w:t>
      </w:r>
    </w:p>
    <w:p w:rsidR="001A6917" w:rsidRPr="00097E80" w:rsidRDefault="00550F3C" w:rsidP="00B6683A">
      <w:pPr>
        <w:tabs>
          <w:tab w:val="left" w:pos="2880"/>
        </w:tabs>
        <w:spacing w:before="120" w:after="0" w:line="240" w:lineRule="auto"/>
        <w:jc w:val="both"/>
        <w:rPr>
          <w:szCs w:val="22"/>
        </w:rPr>
      </w:pPr>
      <w:r w:rsidRPr="00097E80">
        <w:rPr>
          <w:szCs w:val="22"/>
        </w:rPr>
        <w:t xml:space="preserve">Relief and rehabilitation work has </w:t>
      </w:r>
      <w:r w:rsidR="00026632" w:rsidRPr="00097E80">
        <w:rPr>
          <w:szCs w:val="22"/>
        </w:rPr>
        <w:t xml:space="preserve">since </w:t>
      </w:r>
      <w:r w:rsidRPr="00097E80">
        <w:rPr>
          <w:szCs w:val="22"/>
        </w:rPr>
        <w:t xml:space="preserve">been </w:t>
      </w:r>
      <w:r w:rsidR="00026632" w:rsidRPr="00097E80">
        <w:rPr>
          <w:szCs w:val="22"/>
        </w:rPr>
        <w:t xml:space="preserve">carried out </w:t>
      </w:r>
      <w:r w:rsidRPr="00097E80">
        <w:rPr>
          <w:szCs w:val="22"/>
        </w:rPr>
        <w:t xml:space="preserve">by </w:t>
      </w:r>
      <w:r w:rsidR="00026632" w:rsidRPr="00097E80">
        <w:rPr>
          <w:szCs w:val="22"/>
        </w:rPr>
        <w:t xml:space="preserve">the </w:t>
      </w:r>
      <w:r w:rsidR="002A5D48" w:rsidRPr="00097E80">
        <w:rPr>
          <w:szCs w:val="22"/>
        </w:rPr>
        <w:t xml:space="preserve">Myanmar </w:t>
      </w:r>
      <w:r w:rsidR="00026632" w:rsidRPr="00097E80">
        <w:rPr>
          <w:szCs w:val="22"/>
        </w:rPr>
        <w:t>government</w:t>
      </w:r>
      <w:r w:rsidRPr="00097E80">
        <w:rPr>
          <w:szCs w:val="22"/>
        </w:rPr>
        <w:t xml:space="preserve">, NGOs, INGOs and local organizations with fund assistance from local and international </w:t>
      </w:r>
      <w:r w:rsidR="00026632" w:rsidRPr="00097E80">
        <w:rPr>
          <w:szCs w:val="22"/>
        </w:rPr>
        <w:t>communities</w:t>
      </w:r>
      <w:r w:rsidRPr="00097E80">
        <w:rPr>
          <w:szCs w:val="22"/>
        </w:rPr>
        <w:t xml:space="preserve">. </w:t>
      </w:r>
      <w:r w:rsidR="002A5D48" w:rsidRPr="00097E80">
        <w:rPr>
          <w:szCs w:val="22"/>
        </w:rPr>
        <w:t xml:space="preserve">The </w:t>
      </w:r>
      <w:r w:rsidR="00026632" w:rsidRPr="00097E80">
        <w:rPr>
          <w:szCs w:val="22"/>
        </w:rPr>
        <w:t xml:space="preserve">assistance </w:t>
      </w:r>
      <w:r w:rsidR="00E165C7">
        <w:rPr>
          <w:szCs w:val="22"/>
        </w:rPr>
        <w:t>has made</w:t>
      </w:r>
      <w:r w:rsidR="00026632" w:rsidRPr="00097E80">
        <w:rPr>
          <w:szCs w:val="22"/>
        </w:rPr>
        <w:t xml:space="preserve"> a positive impact on employment, and income opportunities were created </w:t>
      </w:r>
      <w:r w:rsidR="00FE7AD8" w:rsidRPr="00097E80">
        <w:rPr>
          <w:szCs w:val="22"/>
        </w:rPr>
        <w:t xml:space="preserve">within the communities through </w:t>
      </w:r>
      <w:r w:rsidR="00026632" w:rsidRPr="00097E80">
        <w:rPr>
          <w:szCs w:val="22"/>
        </w:rPr>
        <w:t xml:space="preserve">restoration of the </w:t>
      </w:r>
      <w:r w:rsidR="00FE7AD8" w:rsidRPr="00097E80">
        <w:rPr>
          <w:szCs w:val="22"/>
        </w:rPr>
        <w:t>agricultur</w:t>
      </w:r>
      <w:r w:rsidR="00026632" w:rsidRPr="00097E80">
        <w:rPr>
          <w:szCs w:val="22"/>
        </w:rPr>
        <w:t>al sector</w:t>
      </w:r>
      <w:r w:rsidR="00FE7AD8" w:rsidRPr="00097E80">
        <w:rPr>
          <w:szCs w:val="22"/>
        </w:rPr>
        <w:t xml:space="preserve">. However, </w:t>
      </w:r>
      <w:r w:rsidR="00097E80">
        <w:rPr>
          <w:szCs w:val="22"/>
        </w:rPr>
        <w:t>recovery for</w:t>
      </w:r>
      <w:r w:rsidR="00097E80" w:rsidRPr="00097E80">
        <w:rPr>
          <w:szCs w:val="22"/>
        </w:rPr>
        <w:t xml:space="preserve"> livelihoods of the Delta population </w:t>
      </w:r>
      <w:r w:rsidR="00097E80">
        <w:rPr>
          <w:szCs w:val="22"/>
        </w:rPr>
        <w:t>explicitly</w:t>
      </w:r>
      <w:r w:rsidR="00C5557E">
        <w:rPr>
          <w:szCs w:val="22"/>
        </w:rPr>
        <w:t xml:space="preserve"> </w:t>
      </w:r>
      <w:r w:rsidR="00097E80">
        <w:rPr>
          <w:szCs w:val="22"/>
        </w:rPr>
        <w:t>demands</w:t>
      </w:r>
      <w:r w:rsidR="00026632" w:rsidRPr="00097E80">
        <w:rPr>
          <w:szCs w:val="22"/>
        </w:rPr>
        <w:t xml:space="preserve"> a </w:t>
      </w:r>
      <w:r w:rsidR="00FE7AD8" w:rsidRPr="00097E80">
        <w:rPr>
          <w:szCs w:val="22"/>
        </w:rPr>
        <w:t>significant amount of time</w:t>
      </w:r>
      <w:r w:rsidR="0013071C" w:rsidRPr="00097E80">
        <w:rPr>
          <w:szCs w:val="22"/>
        </w:rPr>
        <w:t xml:space="preserve"> due to the enormity of the disaster. E</w:t>
      </w:r>
      <w:r w:rsidR="00FE7AD8" w:rsidRPr="00097E80">
        <w:rPr>
          <w:szCs w:val="22"/>
        </w:rPr>
        <w:t xml:space="preserve">ven four years </w:t>
      </w:r>
      <w:r w:rsidR="00026632" w:rsidRPr="00097E80">
        <w:rPr>
          <w:szCs w:val="22"/>
        </w:rPr>
        <w:t xml:space="preserve">after </w:t>
      </w:r>
      <w:r w:rsidR="00FE7AD8" w:rsidRPr="00097E80">
        <w:rPr>
          <w:szCs w:val="22"/>
        </w:rPr>
        <w:t xml:space="preserve">the </w:t>
      </w:r>
      <w:r w:rsidR="00F9739A" w:rsidRPr="00097E80">
        <w:rPr>
          <w:szCs w:val="22"/>
        </w:rPr>
        <w:t xml:space="preserve">disaster, </w:t>
      </w:r>
      <w:r w:rsidR="00FE7AD8" w:rsidRPr="00097E80">
        <w:rPr>
          <w:szCs w:val="22"/>
        </w:rPr>
        <w:t xml:space="preserve">additional efforts and assistance </w:t>
      </w:r>
      <w:r w:rsidR="00CE1DF7" w:rsidRPr="00097E80">
        <w:rPr>
          <w:szCs w:val="22"/>
        </w:rPr>
        <w:t>are</w:t>
      </w:r>
      <w:r w:rsidR="00097E80">
        <w:rPr>
          <w:szCs w:val="22"/>
        </w:rPr>
        <w:t xml:space="preserve"> </w:t>
      </w:r>
      <w:r w:rsidR="00E165C7">
        <w:rPr>
          <w:szCs w:val="22"/>
        </w:rPr>
        <w:t>still</w:t>
      </w:r>
      <w:r w:rsidR="00CE1DF7" w:rsidRPr="00097E80">
        <w:rPr>
          <w:szCs w:val="22"/>
        </w:rPr>
        <w:t xml:space="preserve"> required </w:t>
      </w:r>
      <w:r w:rsidR="00FE7AD8" w:rsidRPr="00097E80">
        <w:rPr>
          <w:szCs w:val="22"/>
        </w:rPr>
        <w:t xml:space="preserve">in order to ensure </w:t>
      </w:r>
      <w:r w:rsidR="00E165C7">
        <w:rPr>
          <w:szCs w:val="22"/>
        </w:rPr>
        <w:t>the</w:t>
      </w:r>
      <w:r w:rsidR="00026632" w:rsidRPr="00097E80">
        <w:rPr>
          <w:szCs w:val="22"/>
        </w:rPr>
        <w:t xml:space="preserve"> sustainable </w:t>
      </w:r>
      <w:r w:rsidR="00FE7AD8" w:rsidRPr="00097E80">
        <w:rPr>
          <w:szCs w:val="22"/>
        </w:rPr>
        <w:t xml:space="preserve">growth of the economic </w:t>
      </w:r>
      <w:r w:rsidR="00F9739A" w:rsidRPr="00097E80">
        <w:rPr>
          <w:szCs w:val="22"/>
        </w:rPr>
        <w:t>environment</w:t>
      </w:r>
      <w:r w:rsidR="00026632" w:rsidRPr="00097E80">
        <w:rPr>
          <w:szCs w:val="22"/>
        </w:rPr>
        <w:t xml:space="preserve"> in the region</w:t>
      </w:r>
      <w:r w:rsidR="00F9739A" w:rsidRPr="00097E80">
        <w:rPr>
          <w:szCs w:val="22"/>
        </w:rPr>
        <w:t>.</w:t>
      </w:r>
    </w:p>
    <w:p w:rsidR="007825AD" w:rsidRPr="00097E80" w:rsidRDefault="00241D34" w:rsidP="00B6683A">
      <w:pPr>
        <w:tabs>
          <w:tab w:val="left" w:pos="2880"/>
        </w:tabs>
        <w:spacing w:before="120" w:after="0" w:line="240" w:lineRule="auto"/>
        <w:jc w:val="both"/>
        <w:rPr>
          <w:szCs w:val="22"/>
        </w:rPr>
      </w:pPr>
      <w:r w:rsidRPr="00097E80">
        <w:rPr>
          <w:szCs w:val="22"/>
        </w:rPr>
        <w:t xml:space="preserve">Livelihoods in </w:t>
      </w:r>
      <w:r w:rsidR="00026632" w:rsidRPr="00097E80">
        <w:rPr>
          <w:szCs w:val="22"/>
        </w:rPr>
        <w:t xml:space="preserve">the </w:t>
      </w:r>
      <w:r w:rsidR="00F9739A" w:rsidRPr="00097E80">
        <w:rPr>
          <w:szCs w:val="22"/>
        </w:rPr>
        <w:t>Delta</w:t>
      </w:r>
      <w:r w:rsidR="00026632" w:rsidRPr="00097E80">
        <w:rPr>
          <w:szCs w:val="22"/>
        </w:rPr>
        <w:t xml:space="preserve"> region</w:t>
      </w:r>
      <w:r w:rsidR="00A14A57">
        <w:rPr>
          <w:szCs w:val="22"/>
        </w:rPr>
        <w:t xml:space="preserve"> </w:t>
      </w:r>
      <w:r w:rsidR="00E165C7">
        <w:rPr>
          <w:szCs w:val="22"/>
        </w:rPr>
        <w:t>comprise</w:t>
      </w:r>
      <w:r w:rsidR="00407ADF" w:rsidRPr="00097E80">
        <w:rPr>
          <w:szCs w:val="22"/>
        </w:rPr>
        <w:t xml:space="preserve"> an </w:t>
      </w:r>
      <w:r w:rsidR="00F9739A" w:rsidRPr="00097E80">
        <w:rPr>
          <w:szCs w:val="22"/>
        </w:rPr>
        <w:t>extremely complex and inter-related mix of farming, livestock</w:t>
      </w:r>
      <w:r w:rsidR="00407ADF" w:rsidRPr="00097E80">
        <w:rPr>
          <w:szCs w:val="22"/>
        </w:rPr>
        <w:t xml:space="preserve"> raising</w:t>
      </w:r>
      <w:r w:rsidR="00F9739A" w:rsidRPr="00097E80">
        <w:rPr>
          <w:szCs w:val="22"/>
        </w:rPr>
        <w:t>, fisheries including fishponds</w:t>
      </w:r>
      <w:r w:rsidR="00407ADF" w:rsidRPr="00097E80">
        <w:rPr>
          <w:szCs w:val="22"/>
        </w:rPr>
        <w:t xml:space="preserve"> and</w:t>
      </w:r>
      <w:r w:rsidR="00F9739A" w:rsidRPr="00097E80">
        <w:rPr>
          <w:szCs w:val="22"/>
        </w:rPr>
        <w:t xml:space="preserve"> in</w:t>
      </w:r>
      <w:r w:rsidR="00407ADF" w:rsidRPr="00097E80">
        <w:rPr>
          <w:szCs w:val="22"/>
        </w:rPr>
        <w:t xml:space="preserve">- and </w:t>
      </w:r>
      <w:r w:rsidR="00F9739A" w:rsidRPr="00097E80">
        <w:rPr>
          <w:szCs w:val="22"/>
        </w:rPr>
        <w:t xml:space="preserve">offshore fisheries, causal </w:t>
      </w:r>
      <w:r w:rsidR="007825AD" w:rsidRPr="00097E80">
        <w:rPr>
          <w:szCs w:val="22"/>
        </w:rPr>
        <w:t>labor</w:t>
      </w:r>
      <w:r w:rsidR="00F9739A" w:rsidRPr="00097E80">
        <w:rPr>
          <w:szCs w:val="22"/>
        </w:rPr>
        <w:t xml:space="preserve"> and other off-farm activities. A number of development organizations, both national and international, </w:t>
      </w:r>
      <w:r w:rsidR="009C1FAF" w:rsidRPr="00097E80">
        <w:rPr>
          <w:szCs w:val="22"/>
        </w:rPr>
        <w:t>continue</w:t>
      </w:r>
      <w:r w:rsidR="00F9739A" w:rsidRPr="00097E80">
        <w:rPr>
          <w:szCs w:val="22"/>
        </w:rPr>
        <w:t xml:space="preserve"> to provide support to address the long</w:t>
      </w:r>
      <w:r w:rsidR="009C1FAF" w:rsidRPr="00097E80">
        <w:rPr>
          <w:szCs w:val="22"/>
        </w:rPr>
        <w:t>-</w:t>
      </w:r>
      <w:r w:rsidR="00F9739A" w:rsidRPr="00097E80">
        <w:rPr>
          <w:szCs w:val="22"/>
        </w:rPr>
        <w:t>term recovery needs of the affected population in the Ayeyarwady</w:t>
      </w:r>
      <w:r w:rsidR="00A14A57">
        <w:rPr>
          <w:szCs w:val="22"/>
        </w:rPr>
        <w:t xml:space="preserve"> </w:t>
      </w:r>
      <w:r w:rsidR="005C33F0" w:rsidRPr="00097E80">
        <w:rPr>
          <w:szCs w:val="22"/>
        </w:rPr>
        <w:t>Delta and revival of the local</w:t>
      </w:r>
      <w:r w:rsidR="007825AD" w:rsidRPr="00097E80">
        <w:rPr>
          <w:szCs w:val="22"/>
        </w:rPr>
        <w:t xml:space="preserve"> economy. In this context, LIFT has</w:t>
      </w:r>
      <w:r w:rsidR="005C33F0" w:rsidRPr="00097E80">
        <w:rPr>
          <w:szCs w:val="22"/>
        </w:rPr>
        <w:t xml:space="preserve"> been playing an instrumental role </w:t>
      </w:r>
      <w:r w:rsidR="00407ADF" w:rsidRPr="00097E80">
        <w:rPr>
          <w:szCs w:val="22"/>
        </w:rPr>
        <w:t xml:space="preserve">by </w:t>
      </w:r>
      <w:r w:rsidR="005C33F0" w:rsidRPr="00097E80">
        <w:rPr>
          <w:szCs w:val="22"/>
        </w:rPr>
        <w:t>addressing livelihoods recovery and food security needs of the poor and vulnerable in the region</w:t>
      </w:r>
      <w:r w:rsidR="007825AD" w:rsidRPr="00097E80">
        <w:rPr>
          <w:szCs w:val="22"/>
        </w:rPr>
        <w:t xml:space="preserve"> and </w:t>
      </w:r>
      <w:r w:rsidR="00407ADF" w:rsidRPr="00097E80">
        <w:rPr>
          <w:szCs w:val="22"/>
        </w:rPr>
        <w:t xml:space="preserve">has </w:t>
      </w:r>
      <w:r w:rsidR="007825AD" w:rsidRPr="00097E80">
        <w:rPr>
          <w:szCs w:val="22"/>
        </w:rPr>
        <w:t>provide</w:t>
      </w:r>
      <w:r w:rsidR="009C1FAF" w:rsidRPr="00097E80">
        <w:rPr>
          <w:szCs w:val="22"/>
        </w:rPr>
        <w:t>d</w:t>
      </w:r>
      <w:r w:rsidR="007825AD" w:rsidRPr="00097E80">
        <w:rPr>
          <w:szCs w:val="22"/>
        </w:rPr>
        <w:t xml:space="preserve"> fund assistance </w:t>
      </w:r>
      <w:r w:rsidR="00407ADF" w:rsidRPr="00097E80">
        <w:rPr>
          <w:szCs w:val="22"/>
        </w:rPr>
        <w:t xml:space="preserve">during its </w:t>
      </w:r>
      <w:r w:rsidR="007825AD" w:rsidRPr="00097E80">
        <w:rPr>
          <w:szCs w:val="22"/>
        </w:rPr>
        <w:t xml:space="preserve">2011 </w:t>
      </w:r>
      <w:r w:rsidR="00953042" w:rsidRPr="00097E80">
        <w:rPr>
          <w:i/>
          <w:szCs w:val="22"/>
        </w:rPr>
        <w:t>Round One</w:t>
      </w:r>
      <w:r w:rsidR="00346A14">
        <w:rPr>
          <w:i/>
          <w:szCs w:val="22"/>
        </w:rPr>
        <w:t xml:space="preserve"> </w:t>
      </w:r>
      <w:r w:rsidR="00953042" w:rsidRPr="00097E80">
        <w:rPr>
          <w:szCs w:val="22"/>
        </w:rPr>
        <w:t>project</w:t>
      </w:r>
      <w:r w:rsidR="007825AD" w:rsidRPr="00097E80">
        <w:rPr>
          <w:szCs w:val="22"/>
        </w:rPr>
        <w:t xml:space="preserve">.  </w:t>
      </w:r>
    </w:p>
    <w:p w:rsidR="00CC37EF" w:rsidRPr="00097E80" w:rsidRDefault="00CC37EF" w:rsidP="00B6683A">
      <w:pPr>
        <w:tabs>
          <w:tab w:val="left" w:pos="2880"/>
        </w:tabs>
        <w:spacing w:before="120" w:after="0" w:line="240" w:lineRule="auto"/>
        <w:jc w:val="both"/>
        <w:rPr>
          <w:szCs w:val="22"/>
        </w:rPr>
      </w:pPr>
      <w:r w:rsidRPr="00097E80">
        <w:rPr>
          <w:szCs w:val="22"/>
        </w:rPr>
        <w:t xml:space="preserve">LIFT </w:t>
      </w:r>
      <w:r w:rsidR="00953042" w:rsidRPr="00097E80">
        <w:rPr>
          <w:i/>
          <w:szCs w:val="22"/>
        </w:rPr>
        <w:t>Round Two</w:t>
      </w:r>
      <w:r w:rsidR="00346A14">
        <w:rPr>
          <w:i/>
          <w:szCs w:val="22"/>
        </w:rPr>
        <w:t xml:space="preserve"> </w:t>
      </w:r>
      <w:r w:rsidRPr="00097E80">
        <w:rPr>
          <w:szCs w:val="22"/>
        </w:rPr>
        <w:t xml:space="preserve">funding has been </w:t>
      </w:r>
      <w:r w:rsidR="005C33F0" w:rsidRPr="00097E80">
        <w:rPr>
          <w:szCs w:val="22"/>
        </w:rPr>
        <w:t>provided in the context of a “program approach”</w:t>
      </w:r>
      <w:r w:rsidR="009C1FAF" w:rsidRPr="00097E80">
        <w:rPr>
          <w:szCs w:val="22"/>
        </w:rPr>
        <w:t>,</w:t>
      </w:r>
      <w:r w:rsidR="00346A14">
        <w:rPr>
          <w:szCs w:val="22"/>
        </w:rPr>
        <w:t xml:space="preserve"> </w:t>
      </w:r>
      <w:r w:rsidR="00CE7830" w:rsidRPr="00097E80">
        <w:rPr>
          <w:szCs w:val="22"/>
        </w:rPr>
        <w:t xml:space="preserve">which brings </w:t>
      </w:r>
      <w:r w:rsidR="005C33F0" w:rsidRPr="00097E80">
        <w:rPr>
          <w:szCs w:val="22"/>
        </w:rPr>
        <w:t xml:space="preserve">together nine </w:t>
      </w:r>
      <w:r w:rsidR="00B25DAA" w:rsidRPr="00097E80">
        <w:rPr>
          <w:szCs w:val="22"/>
        </w:rPr>
        <w:t xml:space="preserve">Implementing Partners </w:t>
      </w:r>
      <w:r w:rsidR="005C33F0" w:rsidRPr="00097E80">
        <w:rPr>
          <w:szCs w:val="22"/>
        </w:rPr>
        <w:t>(IPs) to organize support in two geographical area</w:t>
      </w:r>
      <w:r w:rsidR="009C1FAF" w:rsidRPr="00097E80">
        <w:rPr>
          <w:szCs w:val="22"/>
        </w:rPr>
        <w:t xml:space="preserve">s – </w:t>
      </w:r>
      <w:r w:rsidR="005C33F0" w:rsidRPr="00097E80">
        <w:rPr>
          <w:szCs w:val="22"/>
        </w:rPr>
        <w:t xml:space="preserve">(i) Laputta and (ii) </w:t>
      </w:r>
      <w:r w:rsidR="00CE7830" w:rsidRPr="00097E80">
        <w:rPr>
          <w:szCs w:val="22"/>
        </w:rPr>
        <w:t>Bogalay</w:t>
      </w:r>
      <w:r w:rsidR="005C33F0" w:rsidRPr="00097E80">
        <w:rPr>
          <w:szCs w:val="22"/>
        </w:rPr>
        <w:t xml:space="preserve"> and </w:t>
      </w:r>
      <w:r w:rsidR="00432664" w:rsidRPr="00097E80">
        <w:rPr>
          <w:szCs w:val="22"/>
        </w:rPr>
        <w:t>Mawlamyinegyun</w:t>
      </w:r>
      <w:r w:rsidR="009C1FAF" w:rsidRPr="00097E80">
        <w:rPr>
          <w:szCs w:val="22"/>
        </w:rPr>
        <w:t xml:space="preserve"> –</w:t>
      </w:r>
      <w:r w:rsidR="00B25DAA" w:rsidRPr="00097E80">
        <w:rPr>
          <w:szCs w:val="22"/>
        </w:rPr>
        <w:t>in three years</w:t>
      </w:r>
      <w:r w:rsidRPr="00097E80">
        <w:rPr>
          <w:szCs w:val="22"/>
        </w:rPr>
        <w:t xml:space="preserve"> start</w:t>
      </w:r>
      <w:r w:rsidR="00E63F0F" w:rsidRPr="00097E80">
        <w:rPr>
          <w:szCs w:val="22"/>
        </w:rPr>
        <w:t xml:space="preserve"> operating</w:t>
      </w:r>
      <w:r w:rsidRPr="00097E80">
        <w:rPr>
          <w:szCs w:val="22"/>
        </w:rPr>
        <w:t xml:space="preserve"> from March 2012.</w:t>
      </w:r>
      <w:r w:rsidR="005C33F0" w:rsidRPr="00097E80">
        <w:rPr>
          <w:szCs w:val="22"/>
        </w:rPr>
        <w:t xml:space="preserve"> Th</w:t>
      </w:r>
      <w:r w:rsidRPr="00097E80">
        <w:rPr>
          <w:szCs w:val="22"/>
        </w:rPr>
        <w:t xml:space="preserve">e nine IPs selected under LIFT Round </w:t>
      </w:r>
      <w:r w:rsidR="009C1FAF" w:rsidRPr="00097E80">
        <w:rPr>
          <w:szCs w:val="22"/>
        </w:rPr>
        <w:t xml:space="preserve">Two </w:t>
      </w:r>
      <w:r w:rsidR="005C33F0" w:rsidRPr="00097E80">
        <w:rPr>
          <w:szCs w:val="22"/>
        </w:rPr>
        <w:t xml:space="preserve">funding include seven agencies with expertise in technical support to the poor and vulnerable in </w:t>
      </w:r>
      <w:r w:rsidR="009C1FAF" w:rsidRPr="00097E80">
        <w:rPr>
          <w:szCs w:val="22"/>
        </w:rPr>
        <w:t>the program</w:t>
      </w:r>
      <w:r w:rsidR="005C33F0" w:rsidRPr="00097E80">
        <w:rPr>
          <w:szCs w:val="22"/>
        </w:rPr>
        <w:t xml:space="preserve"> areas and two agencies with capacity and expertise to extend microfinance services </w:t>
      </w:r>
      <w:r w:rsidR="00B25DAA" w:rsidRPr="00097E80">
        <w:rPr>
          <w:szCs w:val="22"/>
        </w:rPr>
        <w:t>in the villages.</w:t>
      </w:r>
    </w:p>
    <w:p w:rsidR="00CC37EF" w:rsidRPr="00097E80" w:rsidRDefault="00B25DAA" w:rsidP="00B6683A">
      <w:pPr>
        <w:tabs>
          <w:tab w:val="left" w:pos="2880"/>
        </w:tabs>
        <w:spacing w:before="120" w:after="0" w:line="240" w:lineRule="auto"/>
        <w:jc w:val="both"/>
        <w:rPr>
          <w:szCs w:val="22"/>
        </w:rPr>
      </w:pPr>
      <w:r w:rsidRPr="00097E80">
        <w:rPr>
          <w:szCs w:val="22"/>
        </w:rPr>
        <w:t>The UNDP and Pact Myanmar are jointly cooperating to p</w:t>
      </w:r>
      <w:r w:rsidR="00CC37EF" w:rsidRPr="00097E80">
        <w:rPr>
          <w:szCs w:val="22"/>
        </w:rPr>
        <w:t>rovid</w:t>
      </w:r>
      <w:r w:rsidRPr="00097E80">
        <w:rPr>
          <w:szCs w:val="22"/>
        </w:rPr>
        <w:t>e</w:t>
      </w:r>
      <w:r w:rsidR="00CC37EF" w:rsidRPr="00097E80">
        <w:rPr>
          <w:szCs w:val="22"/>
        </w:rPr>
        <w:t xml:space="preserve"> microfinance services</w:t>
      </w:r>
      <w:r w:rsidRPr="00097E80">
        <w:rPr>
          <w:szCs w:val="22"/>
        </w:rPr>
        <w:t>,</w:t>
      </w:r>
      <w:r w:rsidR="00346A14">
        <w:rPr>
          <w:szCs w:val="22"/>
        </w:rPr>
        <w:t xml:space="preserve"> </w:t>
      </w:r>
      <w:r w:rsidR="009C1FAF" w:rsidRPr="00097E80">
        <w:rPr>
          <w:szCs w:val="22"/>
        </w:rPr>
        <w:t xml:space="preserve">in </w:t>
      </w:r>
      <w:r w:rsidR="00D1586B" w:rsidRPr="00097E80">
        <w:rPr>
          <w:szCs w:val="22"/>
        </w:rPr>
        <w:t xml:space="preserve">coordination </w:t>
      </w:r>
      <w:r w:rsidR="009C1FAF" w:rsidRPr="00097E80">
        <w:rPr>
          <w:szCs w:val="22"/>
        </w:rPr>
        <w:t>with</w:t>
      </w:r>
      <w:r w:rsidR="00D1586B" w:rsidRPr="00097E80">
        <w:rPr>
          <w:szCs w:val="22"/>
        </w:rPr>
        <w:t xml:space="preserve"> Mercy Corps as lead agency in Laputta and German Agro Action in </w:t>
      </w:r>
      <w:r w:rsidRPr="00097E80">
        <w:rPr>
          <w:szCs w:val="22"/>
        </w:rPr>
        <w:t>Bogalay</w:t>
      </w:r>
      <w:r w:rsidR="00A14A57">
        <w:rPr>
          <w:szCs w:val="22"/>
        </w:rPr>
        <w:t xml:space="preserve"> </w:t>
      </w:r>
      <w:r w:rsidR="00D1586B" w:rsidRPr="00097E80">
        <w:rPr>
          <w:szCs w:val="22"/>
        </w:rPr>
        <w:t>/</w:t>
      </w:r>
      <w:r w:rsidR="00A14A57">
        <w:rPr>
          <w:szCs w:val="22"/>
        </w:rPr>
        <w:t xml:space="preserve"> </w:t>
      </w:r>
      <w:r w:rsidR="00432664" w:rsidRPr="00097E80">
        <w:rPr>
          <w:szCs w:val="22"/>
        </w:rPr>
        <w:t>Mawlamyinegyun</w:t>
      </w:r>
      <w:r w:rsidR="00D1586B" w:rsidRPr="00097E80">
        <w:rPr>
          <w:szCs w:val="22"/>
        </w:rPr>
        <w:t xml:space="preserve">. </w:t>
      </w:r>
      <w:r w:rsidRPr="00097E80">
        <w:rPr>
          <w:szCs w:val="22"/>
        </w:rPr>
        <w:t xml:space="preserve">The </w:t>
      </w:r>
      <w:r w:rsidR="00D1586B" w:rsidRPr="00097E80">
        <w:rPr>
          <w:szCs w:val="22"/>
        </w:rPr>
        <w:t>MF services in the region will be organized in close cooperation with the other seven IPs</w:t>
      </w:r>
      <w:r w:rsidR="009C1FAF" w:rsidRPr="00097E80">
        <w:rPr>
          <w:szCs w:val="22"/>
        </w:rPr>
        <w:t>,</w:t>
      </w:r>
      <w:r w:rsidR="00D1586B" w:rsidRPr="00097E80">
        <w:rPr>
          <w:szCs w:val="22"/>
        </w:rPr>
        <w:t xml:space="preserve"> which focus on technology, training, market access, village infrastructure, environmental and natural resource management, short term job creation and capacity bu</w:t>
      </w:r>
      <w:r w:rsidR="00443991" w:rsidRPr="00097E80">
        <w:rPr>
          <w:szCs w:val="22"/>
        </w:rPr>
        <w:t xml:space="preserve">ilding of the target beneficiary communities. Households receiving support from </w:t>
      </w:r>
      <w:r w:rsidRPr="00097E80">
        <w:rPr>
          <w:szCs w:val="22"/>
        </w:rPr>
        <w:t xml:space="preserve">the </w:t>
      </w:r>
      <w:r w:rsidR="00443991" w:rsidRPr="00097E80">
        <w:rPr>
          <w:szCs w:val="22"/>
        </w:rPr>
        <w:t xml:space="preserve">IPs are assumed </w:t>
      </w:r>
      <w:r w:rsidRPr="00097E80">
        <w:rPr>
          <w:szCs w:val="22"/>
        </w:rPr>
        <w:t xml:space="preserve">as </w:t>
      </w:r>
      <w:r w:rsidR="00AA6382" w:rsidRPr="00097E80">
        <w:rPr>
          <w:szCs w:val="22"/>
        </w:rPr>
        <w:t xml:space="preserve">the </w:t>
      </w:r>
      <w:r w:rsidR="00443991" w:rsidRPr="00097E80">
        <w:rPr>
          <w:szCs w:val="22"/>
        </w:rPr>
        <w:t xml:space="preserve">first priority </w:t>
      </w:r>
      <w:r w:rsidRPr="00097E80">
        <w:rPr>
          <w:szCs w:val="22"/>
        </w:rPr>
        <w:t>by</w:t>
      </w:r>
      <w:r w:rsidR="00346A14">
        <w:rPr>
          <w:szCs w:val="22"/>
        </w:rPr>
        <w:t xml:space="preserve"> </w:t>
      </w:r>
      <w:r w:rsidR="009C1FAF" w:rsidRPr="00097E80">
        <w:rPr>
          <w:szCs w:val="22"/>
        </w:rPr>
        <w:t xml:space="preserve">the </w:t>
      </w:r>
      <w:r w:rsidR="00443991" w:rsidRPr="00097E80">
        <w:rPr>
          <w:szCs w:val="22"/>
        </w:rPr>
        <w:t>UNDP/Pact MF program</w:t>
      </w:r>
      <w:r w:rsidRPr="00097E80">
        <w:rPr>
          <w:szCs w:val="22"/>
        </w:rPr>
        <w:t>, while th</w:t>
      </w:r>
      <w:r w:rsidR="009C1FAF" w:rsidRPr="00097E80">
        <w:rPr>
          <w:szCs w:val="22"/>
        </w:rPr>
        <w:t xml:space="preserve">e second </w:t>
      </w:r>
      <w:r w:rsidR="00443991" w:rsidRPr="00097E80">
        <w:rPr>
          <w:szCs w:val="22"/>
        </w:rPr>
        <w:t xml:space="preserve">priority </w:t>
      </w:r>
      <w:r w:rsidR="009C1FAF" w:rsidRPr="00097E80">
        <w:rPr>
          <w:szCs w:val="22"/>
        </w:rPr>
        <w:t>of service</w:t>
      </w:r>
      <w:r w:rsidR="00443991" w:rsidRPr="00097E80">
        <w:rPr>
          <w:szCs w:val="22"/>
        </w:rPr>
        <w:t xml:space="preserve"> would be poor and vulnerable households in the villages where seven IPs are engaged in livelihood support</w:t>
      </w:r>
      <w:r w:rsidR="004F7C6F" w:rsidRPr="00097E80">
        <w:rPr>
          <w:szCs w:val="22"/>
        </w:rPr>
        <w:t xml:space="preserve"> and the t</w:t>
      </w:r>
      <w:r w:rsidR="00443991" w:rsidRPr="00097E80">
        <w:rPr>
          <w:szCs w:val="22"/>
        </w:rPr>
        <w:t xml:space="preserve">hird priority will be neighboring villages </w:t>
      </w:r>
      <w:r w:rsidR="00C02B81" w:rsidRPr="00097E80">
        <w:rPr>
          <w:szCs w:val="22"/>
        </w:rPr>
        <w:t>that</w:t>
      </w:r>
      <w:r w:rsidR="00346A14">
        <w:rPr>
          <w:szCs w:val="22"/>
        </w:rPr>
        <w:t xml:space="preserve"> </w:t>
      </w:r>
      <w:r w:rsidR="00C02B81" w:rsidRPr="00097E80">
        <w:rPr>
          <w:szCs w:val="22"/>
        </w:rPr>
        <w:t>require</w:t>
      </w:r>
      <w:r w:rsidR="00443991" w:rsidRPr="00097E80">
        <w:rPr>
          <w:szCs w:val="22"/>
        </w:rPr>
        <w:t xml:space="preserve"> capital support </w:t>
      </w:r>
      <w:r w:rsidR="00C02B81" w:rsidRPr="00097E80">
        <w:rPr>
          <w:szCs w:val="22"/>
        </w:rPr>
        <w:t xml:space="preserve">through MF services. </w:t>
      </w:r>
    </w:p>
    <w:p w:rsidR="00E00CFF" w:rsidRPr="00097E80" w:rsidRDefault="00C02B81" w:rsidP="00B6683A">
      <w:pPr>
        <w:tabs>
          <w:tab w:val="left" w:pos="2880"/>
        </w:tabs>
        <w:spacing w:before="120" w:after="0" w:line="240" w:lineRule="auto"/>
        <w:jc w:val="both"/>
        <w:rPr>
          <w:szCs w:val="22"/>
        </w:rPr>
      </w:pPr>
      <w:r w:rsidRPr="00097E80">
        <w:rPr>
          <w:szCs w:val="22"/>
        </w:rPr>
        <w:t xml:space="preserve">Pact Myanmar, with </w:t>
      </w:r>
      <w:r w:rsidR="004F7C6F" w:rsidRPr="00097E80">
        <w:rPr>
          <w:szCs w:val="22"/>
        </w:rPr>
        <w:t xml:space="preserve">its </w:t>
      </w:r>
      <w:r w:rsidR="00C754A5">
        <w:rPr>
          <w:szCs w:val="22"/>
        </w:rPr>
        <w:t>17</w:t>
      </w:r>
      <w:r w:rsidRPr="00097E80">
        <w:rPr>
          <w:szCs w:val="22"/>
        </w:rPr>
        <w:t xml:space="preserve"> years </w:t>
      </w:r>
      <w:r w:rsidR="004F7C6F" w:rsidRPr="00097E80">
        <w:rPr>
          <w:szCs w:val="22"/>
        </w:rPr>
        <w:t xml:space="preserve">of </w:t>
      </w:r>
      <w:r w:rsidRPr="00097E80">
        <w:rPr>
          <w:szCs w:val="22"/>
        </w:rPr>
        <w:t>MF experience in Myanmar as well as specific experience in addressing post</w:t>
      </w:r>
      <w:r w:rsidR="00AA6382" w:rsidRPr="00097E80">
        <w:rPr>
          <w:szCs w:val="22"/>
        </w:rPr>
        <w:t>-</w:t>
      </w:r>
      <w:r w:rsidRPr="00097E80">
        <w:rPr>
          <w:szCs w:val="22"/>
        </w:rPr>
        <w:t>Nargis recovery and rehabilitation program</w:t>
      </w:r>
      <w:r w:rsidR="00875914" w:rsidRPr="00097E80">
        <w:rPr>
          <w:szCs w:val="22"/>
        </w:rPr>
        <w:t>,</w:t>
      </w:r>
      <w:r w:rsidRPr="00097E80">
        <w:rPr>
          <w:szCs w:val="22"/>
        </w:rPr>
        <w:t xml:space="preserve"> assumes the responsibility of providing MF services to the above mentioned </w:t>
      </w:r>
      <w:r w:rsidR="00C808D3" w:rsidRPr="00097E80">
        <w:rPr>
          <w:szCs w:val="22"/>
        </w:rPr>
        <w:t xml:space="preserve">three-tier </w:t>
      </w:r>
      <w:r w:rsidRPr="00097E80">
        <w:rPr>
          <w:szCs w:val="22"/>
        </w:rPr>
        <w:t>poor and vulnerable households.</w:t>
      </w:r>
      <w:r w:rsidR="00AD72C0">
        <w:rPr>
          <w:szCs w:val="22"/>
        </w:rPr>
        <w:t xml:space="preserve"> </w:t>
      </w:r>
      <w:r w:rsidR="00C808D3" w:rsidRPr="00097E80">
        <w:rPr>
          <w:szCs w:val="22"/>
        </w:rPr>
        <w:t xml:space="preserve">The total funding provided by </w:t>
      </w:r>
      <w:r w:rsidR="000F5E09" w:rsidRPr="00097E80">
        <w:rPr>
          <w:szCs w:val="22"/>
        </w:rPr>
        <w:t>LIFT, under its LIFT II Delta program</w:t>
      </w:r>
      <w:r w:rsidR="00C808D3" w:rsidRPr="00097E80">
        <w:rPr>
          <w:szCs w:val="22"/>
        </w:rPr>
        <w:t>,</w:t>
      </w:r>
      <w:r w:rsidR="000F5E09" w:rsidRPr="00097E80">
        <w:rPr>
          <w:szCs w:val="22"/>
        </w:rPr>
        <w:t xml:space="preserve"> amounts to US$ 6 million over a period of three years </w:t>
      </w:r>
      <w:r w:rsidR="00C808D3" w:rsidRPr="00097E80">
        <w:rPr>
          <w:szCs w:val="22"/>
        </w:rPr>
        <w:t>(</w:t>
      </w:r>
      <w:r w:rsidR="000E343D" w:rsidRPr="00097E80">
        <w:rPr>
          <w:szCs w:val="22"/>
        </w:rPr>
        <w:t>Feb</w:t>
      </w:r>
      <w:r w:rsidR="000F5E09" w:rsidRPr="00097E80">
        <w:rPr>
          <w:szCs w:val="22"/>
        </w:rPr>
        <w:t xml:space="preserve"> 2012 to </w:t>
      </w:r>
      <w:r w:rsidR="000E343D" w:rsidRPr="00097E80">
        <w:rPr>
          <w:szCs w:val="22"/>
        </w:rPr>
        <w:t>Feb2015</w:t>
      </w:r>
      <w:r w:rsidR="00C808D3" w:rsidRPr="00097E80">
        <w:rPr>
          <w:szCs w:val="22"/>
        </w:rPr>
        <w:t>)</w:t>
      </w:r>
      <w:r w:rsidR="000F5E09" w:rsidRPr="00097E80">
        <w:rPr>
          <w:szCs w:val="22"/>
        </w:rPr>
        <w:t>.</w:t>
      </w:r>
    </w:p>
    <w:p w:rsidR="00CA4497" w:rsidRPr="00097E80" w:rsidRDefault="00CA4497" w:rsidP="001A7E8E">
      <w:pPr>
        <w:spacing w:before="120" w:after="0" w:line="240" w:lineRule="auto"/>
        <w:rPr>
          <w:b/>
          <w:color w:val="FF0000"/>
        </w:rPr>
      </w:pPr>
    </w:p>
    <w:p w:rsidR="00E63F0F" w:rsidRPr="00097E80" w:rsidRDefault="00E63F0F" w:rsidP="001A7E8E">
      <w:pPr>
        <w:spacing w:before="120" w:after="0" w:line="240" w:lineRule="auto"/>
        <w:rPr>
          <w:b/>
          <w:color w:val="FF0000"/>
        </w:rPr>
      </w:pPr>
    </w:p>
    <w:p w:rsidR="00E63F0F" w:rsidRPr="00097E80" w:rsidRDefault="00E63F0F" w:rsidP="001A7E8E">
      <w:pPr>
        <w:spacing w:before="120" w:after="0" w:line="240" w:lineRule="auto"/>
        <w:rPr>
          <w:b/>
          <w:color w:val="FF0000"/>
        </w:rPr>
      </w:pPr>
    </w:p>
    <w:p w:rsidR="00CA4497" w:rsidRPr="00097E80" w:rsidRDefault="00CA4497" w:rsidP="001A7E8E">
      <w:pPr>
        <w:spacing w:before="120" w:after="0" w:line="240" w:lineRule="auto"/>
        <w:rPr>
          <w:b/>
          <w:color w:val="FF0000"/>
        </w:rPr>
      </w:pPr>
    </w:p>
    <w:p w:rsidR="000809A0" w:rsidRPr="00097E80" w:rsidRDefault="000809A0" w:rsidP="000809A0">
      <w:pPr>
        <w:tabs>
          <w:tab w:val="left" w:pos="2880"/>
        </w:tabs>
        <w:spacing w:before="120" w:after="0" w:line="240" w:lineRule="auto"/>
        <w:rPr>
          <w:b/>
          <w:szCs w:val="22"/>
        </w:rPr>
      </w:pPr>
      <w:r w:rsidRPr="00E5777F">
        <w:rPr>
          <w:b/>
          <w:szCs w:val="22"/>
        </w:rPr>
        <w:lastRenderedPageBreak/>
        <w:t>2. Project Purpose</w:t>
      </w:r>
    </w:p>
    <w:p w:rsidR="00347467" w:rsidRPr="00097E80" w:rsidRDefault="00347467" w:rsidP="001A7E8E">
      <w:pPr>
        <w:spacing w:before="120" w:after="0" w:line="240" w:lineRule="auto"/>
        <w:jc w:val="both"/>
      </w:pPr>
      <w:r w:rsidRPr="00097E80">
        <w:t xml:space="preserve">The project aims to support the poor and vulnerable households in two program </w:t>
      </w:r>
      <w:r w:rsidR="00A7360A" w:rsidRPr="00097E80">
        <w:t xml:space="preserve">areas – </w:t>
      </w:r>
      <w:r w:rsidRPr="00097E80">
        <w:t xml:space="preserve">Laputta and </w:t>
      </w:r>
      <w:r w:rsidR="000C601F" w:rsidRPr="00097E80">
        <w:t>Bogalay</w:t>
      </w:r>
      <w:r w:rsidRPr="00097E80">
        <w:t>/</w:t>
      </w:r>
      <w:r w:rsidR="00AC705A" w:rsidRPr="00097E80">
        <w:rPr>
          <w:szCs w:val="22"/>
        </w:rPr>
        <w:t>Mawlamyinegyun</w:t>
      </w:r>
      <w:r w:rsidR="00A14A57">
        <w:rPr>
          <w:szCs w:val="22"/>
        </w:rPr>
        <w:t xml:space="preserve"> </w:t>
      </w:r>
      <w:r w:rsidRPr="00097E80">
        <w:t>in Ayeyarwady Delta</w:t>
      </w:r>
      <w:r w:rsidR="00A7360A" w:rsidRPr="00097E80">
        <w:t xml:space="preserve"> – </w:t>
      </w:r>
      <w:r w:rsidRPr="00097E80">
        <w:t xml:space="preserve">with access to affordable credit. Loans </w:t>
      </w:r>
      <w:r w:rsidR="00097E80">
        <w:t>are</w:t>
      </w:r>
      <w:r w:rsidRPr="00097E80">
        <w:t xml:space="preserve"> targeted to enable (a) small and marginal farmers and fisher</w:t>
      </w:r>
      <w:r w:rsidR="008718D8" w:rsidRPr="00097E80">
        <w:t>men</w:t>
      </w:r>
      <w:r w:rsidRPr="00097E80">
        <w:t xml:space="preserve"> to increase food and fisheries production, (b) landless poor and marginal farmers to generate income from livestock, agro-based and off-farm activities, (c) small rural entrepreneurs engaged in small</w:t>
      </w:r>
      <w:r w:rsidR="00A7360A" w:rsidRPr="00097E80">
        <w:t>-</w:t>
      </w:r>
      <w:r w:rsidRPr="00097E80">
        <w:t>scale production and services in the village economy, which in turn will also create jobs, and (d) vulnerable households in food poverty.</w:t>
      </w:r>
    </w:p>
    <w:p w:rsidR="00B8737F" w:rsidRPr="006107FB" w:rsidRDefault="004F2B3C" w:rsidP="00DF4E4A">
      <w:pPr>
        <w:spacing w:before="120" w:after="0" w:line="240" w:lineRule="auto"/>
        <w:jc w:val="both"/>
      </w:pPr>
      <w:r>
        <w:t>UNDP/PACT</w:t>
      </w:r>
      <w:r w:rsidR="00097010">
        <w:t xml:space="preserve"> </w:t>
      </w:r>
      <w:r w:rsidR="00B8737F" w:rsidRPr="006107FB">
        <w:t xml:space="preserve">has to provide microfinance services in those two </w:t>
      </w:r>
      <w:r w:rsidR="006107FB" w:rsidRPr="006107FB">
        <w:t>areas in three townships</w:t>
      </w:r>
      <w:r w:rsidR="00E165C7">
        <w:t>, but</w:t>
      </w:r>
      <w:r w:rsidR="00B8737F" w:rsidRPr="006107FB">
        <w:t xml:space="preserve"> to coordinate </w:t>
      </w:r>
      <w:r w:rsidR="00E165C7">
        <w:t xml:space="preserve">with </w:t>
      </w:r>
      <w:r w:rsidR="00B8737F" w:rsidRPr="006107FB">
        <w:t xml:space="preserve">seven IPs, </w:t>
      </w:r>
      <w:r w:rsidR="00B8737F" w:rsidRPr="006107FB">
        <w:rPr>
          <w:szCs w:val="22"/>
        </w:rPr>
        <w:t>which focus on technology, training, market access, village infrastructure, environmental and natural resource</w:t>
      </w:r>
      <w:r w:rsidR="00E165C7">
        <w:rPr>
          <w:szCs w:val="22"/>
        </w:rPr>
        <w:t>s</w:t>
      </w:r>
      <w:r w:rsidR="00B8737F" w:rsidRPr="006107FB">
        <w:rPr>
          <w:szCs w:val="22"/>
        </w:rPr>
        <w:t xml:space="preserve">. </w:t>
      </w:r>
      <w:r w:rsidR="00B8737F" w:rsidRPr="006107FB">
        <w:t>The seven IPs are Mercy Corps, ADRA, Proxim</w:t>
      </w:r>
      <w:r w:rsidR="00A14A57">
        <w:t>ity Design (IDE) and LEAD in Lap</w:t>
      </w:r>
      <w:r w:rsidR="00B8737F" w:rsidRPr="006107FB">
        <w:t>ut</w:t>
      </w:r>
      <w:r w:rsidR="00A14A57">
        <w:t>t</w:t>
      </w:r>
      <w:r w:rsidR="00B8737F" w:rsidRPr="006107FB">
        <w:t>a area and WHH, GRET, Proximity Design (IDE), MSN in Bogalay/</w:t>
      </w:r>
      <w:r w:rsidR="00B8737F" w:rsidRPr="006107FB">
        <w:rPr>
          <w:szCs w:val="22"/>
        </w:rPr>
        <w:t>Mawlamyinegyun</w:t>
      </w:r>
      <w:r w:rsidR="00B8737F" w:rsidRPr="006107FB">
        <w:t xml:space="preserve"> area. </w:t>
      </w:r>
    </w:p>
    <w:p w:rsidR="00B8737F" w:rsidRPr="00637B47" w:rsidRDefault="00B8737F" w:rsidP="00B8737F">
      <w:pPr>
        <w:spacing w:before="120" w:after="120" w:line="240" w:lineRule="auto"/>
        <w:jc w:val="both"/>
      </w:pPr>
      <w:r w:rsidRPr="006107FB">
        <w:t xml:space="preserve">Households </w:t>
      </w:r>
      <w:r w:rsidR="00E165C7">
        <w:t>that</w:t>
      </w:r>
      <w:r w:rsidR="006107FB" w:rsidRPr="006107FB">
        <w:t xml:space="preserve"> received</w:t>
      </w:r>
      <w:r w:rsidRPr="006107FB">
        <w:t xml:space="preserve"> support from these </w:t>
      </w:r>
      <w:r w:rsidR="00097010">
        <w:t>technical service provider IPs</w:t>
      </w:r>
      <w:r w:rsidRPr="006107FB">
        <w:t xml:space="preserve"> were given first priority by the Pact MF program. </w:t>
      </w:r>
      <w:r w:rsidRPr="00637B47">
        <w:t xml:space="preserve">The second priority for provision of MF services </w:t>
      </w:r>
      <w:r w:rsidR="00637B47" w:rsidRPr="00637B47">
        <w:t>is</w:t>
      </w:r>
      <w:r w:rsidR="0025214F">
        <w:t xml:space="preserve"> </w:t>
      </w:r>
      <w:r w:rsidR="00637B47" w:rsidRPr="00637B47">
        <w:t>identified from</w:t>
      </w:r>
      <w:r w:rsidRPr="00637B47">
        <w:t xml:space="preserve"> poor and vulnerable households in the villages where the IPs are engaged in livelihood support. </w:t>
      </w:r>
    </w:p>
    <w:p w:rsidR="00D83742" w:rsidRPr="00554A13" w:rsidRDefault="00E00CFF" w:rsidP="00B6683A">
      <w:pPr>
        <w:pBdr>
          <w:bottom w:val="single" w:sz="4" w:space="1" w:color="auto"/>
        </w:pBdr>
        <w:tabs>
          <w:tab w:val="left" w:pos="8216"/>
        </w:tabs>
        <w:rPr>
          <w:b/>
        </w:rPr>
      </w:pPr>
      <w:r w:rsidRPr="00E5777F">
        <w:rPr>
          <w:b/>
        </w:rPr>
        <w:t>Progress</w:t>
      </w:r>
      <w:r w:rsidR="00B8737F" w:rsidRPr="00E5777F">
        <w:rPr>
          <w:b/>
        </w:rPr>
        <w:t xml:space="preserve"> and comments</w:t>
      </w:r>
    </w:p>
    <w:p w:rsidR="00E04489" w:rsidRDefault="00D83742" w:rsidP="00D83742">
      <w:pPr>
        <w:spacing w:before="120" w:after="120" w:line="240" w:lineRule="auto"/>
        <w:jc w:val="both"/>
      </w:pPr>
      <w:r w:rsidRPr="00554A13">
        <w:t>LIFT II Delta Program is the second phase of assistance provided for Nargis affected townships aiming to support the poor and vulnerable households in Laputta and Bogale/</w:t>
      </w:r>
      <w:r w:rsidRPr="00554A13">
        <w:rPr>
          <w:szCs w:val="22"/>
        </w:rPr>
        <w:t>Mawlamyinegyun</w:t>
      </w:r>
      <w:r w:rsidRPr="00554A13">
        <w:t xml:space="preserve"> in Ayeyarwady Delta with access to affordable </w:t>
      </w:r>
      <w:r w:rsidR="00EE446C" w:rsidRPr="00554A13">
        <w:t>credit. The</w:t>
      </w:r>
      <w:r w:rsidRPr="00554A13">
        <w:t xml:space="preserve"> MoA between the UNDP and LIFT was signed in February 2012 and required the implementation to begin from March 2012. </w:t>
      </w:r>
    </w:p>
    <w:p w:rsidR="001F48BB" w:rsidRPr="00520A0E" w:rsidRDefault="004F2B3C" w:rsidP="00C67062">
      <w:pPr>
        <w:spacing w:before="120" w:after="120" w:line="240" w:lineRule="auto"/>
        <w:jc w:val="both"/>
      </w:pPr>
      <w:r>
        <w:t>UNDP/PACT</w:t>
      </w:r>
      <w:r w:rsidR="005834E7">
        <w:t xml:space="preserve"> </w:t>
      </w:r>
      <w:r w:rsidR="00C754A5">
        <w:t>reached 16</w:t>
      </w:r>
      <w:r w:rsidR="00FF5D14">
        <w:t xml:space="preserve"> new villages during the reporting period of six months and all villages were from Laputta township</w:t>
      </w:r>
      <w:r w:rsidR="00C754A5">
        <w:t>s making village coverage to 263</w:t>
      </w:r>
      <w:r w:rsidR="00FF5D14">
        <w:t xml:space="preserve"> villages</w:t>
      </w:r>
      <w:r w:rsidR="00D17F5B">
        <w:t xml:space="preserve"> in total</w:t>
      </w:r>
      <w:r w:rsidR="00FF5D14">
        <w:t xml:space="preserve">, </w:t>
      </w:r>
      <w:r w:rsidR="00D17F5B" w:rsidRPr="00D43DD5">
        <w:t xml:space="preserve">102 </w:t>
      </w:r>
      <w:r w:rsidR="00D17F5B">
        <w:t>from</w:t>
      </w:r>
      <w:r w:rsidR="00C754A5">
        <w:t xml:space="preserve"> Bogalay, 46</w:t>
      </w:r>
      <w:r w:rsidR="00FF5D14" w:rsidRPr="00D43DD5">
        <w:t xml:space="preserve"> </w:t>
      </w:r>
      <w:r w:rsidR="00FF5D14">
        <w:t>from</w:t>
      </w:r>
      <w:r w:rsidR="00FF5D14" w:rsidRPr="00D43DD5">
        <w:t xml:space="preserve"> </w:t>
      </w:r>
      <w:r w:rsidR="00FF5D14" w:rsidRPr="00520A0E">
        <w:t>Mawlamyine</w:t>
      </w:r>
      <w:r w:rsidR="00C754A5" w:rsidRPr="00520A0E">
        <w:t>gyun and 115</w:t>
      </w:r>
      <w:r w:rsidR="00FF5D14" w:rsidRPr="00520A0E">
        <w:t xml:space="preserve"> villages from Labutta.  </w:t>
      </w:r>
      <w:r w:rsidR="00C67062" w:rsidRPr="00520A0E">
        <w:t>During the reporting period PACT recruited 4,965</w:t>
      </w:r>
      <w:r w:rsidR="00C67062" w:rsidRPr="00520A0E">
        <w:rPr>
          <w:color w:val="FF0000"/>
        </w:rPr>
        <w:t xml:space="preserve"> </w:t>
      </w:r>
      <w:r w:rsidR="00C67062" w:rsidRPr="00520A0E">
        <w:t xml:space="preserve">new clients and </w:t>
      </w:r>
      <w:r w:rsidR="001F48BB" w:rsidRPr="00520A0E">
        <w:t xml:space="preserve">totally </w:t>
      </w:r>
      <w:r w:rsidR="00C67062" w:rsidRPr="00520A0E">
        <w:t xml:space="preserve">provided </w:t>
      </w:r>
      <w:r w:rsidR="001F48BB" w:rsidRPr="00520A0E">
        <w:t>16,662</w:t>
      </w:r>
      <w:r w:rsidR="00C67062" w:rsidRPr="00520A0E">
        <w:t xml:space="preserve"> loans</w:t>
      </w:r>
      <w:r w:rsidR="00C67062" w:rsidRPr="00520A0E">
        <w:rPr>
          <w:color w:val="FF0000"/>
        </w:rPr>
        <w:t xml:space="preserve"> </w:t>
      </w:r>
      <w:r w:rsidR="00A76661" w:rsidRPr="00520A0E">
        <w:t>including repeat</w:t>
      </w:r>
      <w:r w:rsidR="00C67062" w:rsidRPr="00520A0E">
        <w:t xml:space="preserve"> loans amounted to USD </w:t>
      </w:r>
      <w:r w:rsidR="001F48BB" w:rsidRPr="00520A0E">
        <w:t>3,324,089</w:t>
      </w:r>
      <w:r w:rsidR="00C67062" w:rsidRPr="00520A0E">
        <w:rPr>
          <w:rStyle w:val="FootnoteReference"/>
        </w:rPr>
        <w:footnoteReference w:id="1"/>
      </w:r>
      <w:r w:rsidR="001F48BB" w:rsidRPr="00520A0E">
        <w:t>.</w:t>
      </w:r>
      <w:r w:rsidR="00C67062" w:rsidRPr="00520A0E">
        <w:t xml:space="preserve"> </w:t>
      </w:r>
    </w:p>
    <w:p w:rsidR="00C67062" w:rsidRPr="00841038" w:rsidRDefault="00C67062" w:rsidP="00C67062">
      <w:pPr>
        <w:spacing w:before="120" w:after="120" w:line="240" w:lineRule="auto"/>
        <w:jc w:val="both"/>
      </w:pPr>
      <w:r>
        <w:t>PACT</w:t>
      </w:r>
      <w:r w:rsidRPr="0003756C">
        <w:t xml:space="preserve"> acknowledged the fact about less accomplishment in providing of agro-trading loans. The accomplishment for the reporting period </w:t>
      </w:r>
      <w:r w:rsidRPr="00841038">
        <w:t>was a mere 28% of the Year II (2013) target, 162 loans, despite revis</w:t>
      </w:r>
      <w:r>
        <w:t>ion</w:t>
      </w:r>
      <w:r w:rsidRPr="00841038">
        <w:t xml:space="preserve"> of </w:t>
      </w:r>
      <w:r>
        <w:t xml:space="preserve">the </w:t>
      </w:r>
      <w:r w:rsidRPr="00841038">
        <w:t xml:space="preserve">plan. The under-target is due to lack of negotiation power of beneficiary to trade and big traders on this industry monopolized the </w:t>
      </w:r>
      <w:r>
        <w:t xml:space="preserve">agro-trade </w:t>
      </w:r>
      <w:r w:rsidRPr="00841038">
        <w:t xml:space="preserve">market. </w:t>
      </w:r>
    </w:p>
    <w:p w:rsidR="00C67062" w:rsidRPr="00A76661" w:rsidRDefault="00A76661" w:rsidP="00A76661">
      <w:pPr>
        <w:pBdr>
          <w:bottom w:val="single" w:sz="4" w:space="1" w:color="auto"/>
        </w:pBdr>
        <w:spacing w:before="120" w:after="120" w:line="240" w:lineRule="auto"/>
        <w:jc w:val="both"/>
        <w:rPr>
          <w:b/>
        </w:rPr>
      </w:pPr>
      <w:r w:rsidRPr="00E5777F">
        <w:rPr>
          <w:b/>
        </w:rPr>
        <w:t>Comment</w:t>
      </w:r>
    </w:p>
    <w:p w:rsidR="00E00CFF" w:rsidRDefault="00097010" w:rsidP="00FC7666">
      <w:pPr>
        <w:spacing w:before="120" w:after="120" w:line="240" w:lineRule="auto"/>
        <w:jc w:val="both"/>
      </w:pPr>
      <w:r>
        <w:t xml:space="preserve">Under LIFT II round II program, to fulfill the project objectives </w:t>
      </w:r>
      <w:r w:rsidR="004F2B3C">
        <w:t>UNDP/PACT</w:t>
      </w:r>
      <w:r>
        <w:t xml:space="preserve"> still needs to coordinate with the technical support/service providers and provides microfinance and related services.  </w:t>
      </w:r>
      <w:r w:rsidR="00FC7666" w:rsidRPr="00A93DCC">
        <w:t xml:space="preserve">The staff from MF and IPs </w:t>
      </w:r>
      <w:r>
        <w:t>has to</w:t>
      </w:r>
      <w:r w:rsidR="00FC7666" w:rsidRPr="00A93DCC">
        <w:t xml:space="preserve"> put combined</w:t>
      </w:r>
      <w:r w:rsidR="00A93DCC" w:rsidRPr="00A93DCC">
        <w:t xml:space="preserve"> synerg</w:t>
      </w:r>
      <w:r w:rsidR="00E165C7">
        <w:t>et</w:t>
      </w:r>
      <w:r w:rsidR="00A93DCC" w:rsidRPr="00A93DCC">
        <w:t>ic</w:t>
      </w:r>
      <w:r w:rsidR="00FC7666" w:rsidRPr="00A93DCC">
        <w:t xml:space="preserve"> efforts to fulfill the task, especially to provide timely agricul</w:t>
      </w:r>
      <w:r w:rsidR="00953BC0">
        <w:t>ture loan for the monsoon paddy and</w:t>
      </w:r>
      <w:r>
        <w:t xml:space="preserve"> other loans such as livestock</w:t>
      </w:r>
      <w:r w:rsidR="00E165C7">
        <w:t>,</w:t>
      </w:r>
      <w:r>
        <w:t xml:space="preserve"> off-farm loans</w:t>
      </w:r>
      <w:r w:rsidR="00E165C7">
        <w:t>,</w:t>
      </w:r>
      <w:r>
        <w:t xml:space="preserve"> and agro-trading loans. </w:t>
      </w:r>
      <w:r w:rsidR="00DD4FF8">
        <w:t xml:space="preserve">For the first year the implementation went well apart from some comments coming through a few IPs saying longer loan duration is required to get better price for the farmers or if possible to introduce crop storage loan. </w:t>
      </w:r>
      <w:r w:rsidR="004F2B3C">
        <w:t>UNDP/PACT</w:t>
      </w:r>
      <w:r w:rsidR="00DD4FF8">
        <w:t xml:space="preserve"> staff found in the field level that extension of loan term for one or two months came from a few famers, even though </w:t>
      </w:r>
      <w:r w:rsidR="004F2B3C">
        <w:t>UNDP/PACT</w:t>
      </w:r>
      <w:r w:rsidR="00DD4FF8">
        <w:t xml:space="preserve"> still considered and discussed with the senior to be flexible on loan duration.</w:t>
      </w:r>
    </w:p>
    <w:p w:rsidR="00097010" w:rsidRPr="00A93DCC" w:rsidRDefault="00097010" w:rsidP="00FC7666">
      <w:pPr>
        <w:spacing w:before="120" w:after="120" w:line="240" w:lineRule="auto"/>
        <w:jc w:val="both"/>
      </w:pPr>
      <w:r>
        <w:t xml:space="preserve">Since Myanmar Agriculture </w:t>
      </w:r>
      <w:r w:rsidR="000148CA">
        <w:t xml:space="preserve">Development </w:t>
      </w:r>
      <w:r>
        <w:t xml:space="preserve">Bank </w:t>
      </w:r>
      <w:r w:rsidR="000148CA">
        <w:t xml:space="preserve">(MADB) </w:t>
      </w:r>
      <w:r>
        <w:t>is providing agriculture loans with a subsidized interest rate of about 8.5% annual</w:t>
      </w:r>
      <w:r w:rsidR="000148CA">
        <w:t xml:space="preserve">ly and the ceiling is about 1,000 US$ it could be difficult to provide loans to the microfinance farmers as </w:t>
      </w:r>
      <w:r w:rsidR="004F2B3C">
        <w:t>UNDP/PACT</w:t>
      </w:r>
      <w:r w:rsidR="000148CA">
        <w:t xml:space="preserve"> loan ceiling for agriculture loan is 100 US $ per acre and 400 US$ max and the interest rate charged for loan is 30% </w:t>
      </w:r>
      <w:r w:rsidR="00F028F2">
        <w:t>effective</w:t>
      </w:r>
      <w:r w:rsidR="000148CA">
        <w:t xml:space="preserve">. If the farmers take loans from both they definitely will face loan burden and </w:t>
      </w:r>
      <w:r w:rsidR="004F2B3C">
        <w:t>UNDP/PACT</w:t>
      </w:r>
      <w:r w:rsidR="000148CA">
        <w:t xml:space="preserve"> may suffer whe</w:t>
      </w:r>
      <w:r w:rsidR="000253ED">
        <w:t xml:space="preserve">n the loan is due.   </w:t>
      </w:r>
      <w:r w:rsidR="004F2B3C">
        <w:t>UNDP/PACT</w:t>
      </w:r>
      <w:r w:rsidR="000253ED">
        <w:t xml:space="preserve"> staff</w:t>
      </w:r>
      <w:r w:rsidR="000148CA">
        <w:t xml:space="preserve"> were warned about probable situation of taking agriculture loans from both sides</w:t>
      </w:r>
      <w:r w:rsidR="000253ED">
        <w:t>,</w:t>
      </w:r>
      <w:r w:rsidR="000148CA">
        <w:t xml:space="preserve"> th</w:t>
      </w:r>
      <w:r w:rsidR="000253ED">
        <w:t>at</w:t>
      </w:r>
      <w:r w:rsidR="000148CA">
        <w:t xml:space="preserve"> it could be </w:t>
      </w:r>
      <w:r w:rsidR="00121F3D">
        <w:t xml:space="preserve">unhealthy for </w:t>
      </w:r>
      <w:r w:rsidR="004F2B3C">
        <w:t>UNDP/PACT</w:t>
      </w:r>
      <w:r w:rsidR="00121F3D">
        <w:t>.</w:t>
      </w:r>
    </w:p>
    <w:p w:rsidR="00B8737F" w:rsidRPr="00347CD1" w:rsidRDefault="009A08F2" w:rsidP="003D28D6">
      <w:pPr>
        <w:spacing w:before="120" w:after="120" w:line="240" w:lineRule="auto"/>
        <w:jc w:val="both"/>
        <w:rPr>
          <w:b/>
          <w:u w:val="single"/>
        </w:rPr>
      </w:pPr>
      <w:r w:rsidRPr="00E5777F">
        <w:rPr>
          <w:b/>
          <w:u w:val="single"/>
        </w:rPr>
        <w:lastRenderedPageBreak/>
        <w:t>L</w:t>
      </w:r>
      <w:r w:rsidR="00B8737F" w:rsidRPr="00E5777F">
        <w:rPr>
          <w:b/>
          <w:u w:val="single"/>
        </w:rPr>
        <w:t>esson learned from overall Project Implementation</w:t>
      </w:r>
      <w:r w:rsidR="00B8737F" w:rsidRPr="00347CD1">
        <w:rPr>
          <w:b/>
          <w:u w:val="single"/>
        </w:rPr>
        <w:t xml:space="preserve"> </w:t>
      </w:r>
    </w:p>
    <w:p w:rsidR="00A76661" w:rsidRPr="00EB690B" w:rsidRDefault="00A76661" w:rsidP="00A76661">
      <w:pPr>
        <w:spacing w:before="120" w:after="120" w:line="240" w:lineRule="auto"/>
        <w:jc w:val="both"/>
      </w:pPr>
      <w:r w:rsidRPr="00EB690B">
        <w:t xml:space="preserve">The most important lesson learned with the achievement of the agriculture loans in previous half year was that LIFT IPs can work together to achieve the target deliverables. </w:t>
      </w:r>
      <w:r>
        <w:t>However, during the reporting period for one year the achievement was under-target again mainly due to postponement of summer paddy loan disbursement and partly due to competition from MARDB with subsidized low interest rate.</w:t>
      </w:r>
    </w:p>
    <w:p w:rsidR="00A76661" w:rsidRPr="00EB690B" w:rsidRDefault="00A76661" w:rsidP="00A76661">
      <w:pPr>
        <w:spacing w:before="120" w:after="120" w:line="240" w:lineRule="auto"/>
        <w:jc w:val="both"/>
      </w:pPr>
      <w:r>
        <w:t>PACT</w:t>
      </w:r>
      <w:r w:rsidRPr="00EB690B">
        <w:t xml:space="preserve"> will keep motivating the IPs’ staff and the borrowers based on the success of providing agriculture loan and recovery, in knowledge of the default story when some of the private sector agriculture support companies closed down due to the massive non-performance loan.</w:t>
      </w:r>
      <w:r w:rsidRPr="00EB690B">
        <w:rPr>
          <w:b/>
        </w:rPr>
        <w:t xml:space="preserve"> </w:t>
      </w:r>
      <w:r>
        <w:t>PACT</w:t>
      </w:r>
      <w:r w:rsidRPr="00EB690B">
        <w:t xml:space="preserve"> believes that a streamlined methodology for group solidarity and credit discipline is the key to success for agriculture loan repayment portfolio and its large outreach. As explained above </w:t>
      </w:r>
      <w:r>
        <w:t>PACT</w:t>
      </w:r>
      <w:r w:rsidRPr="00EB690B">
        <w:t xml:space="preserve"> does have </w:t>
      </w:r>
      <w:r>
        <w:t>some</w:t>
      </w:r>
      <w:r w:rsidRPr="00EB690B">
        <w:t xml:space="preserve"> concern</w:t>
      </w:r>
      <w:r>
        <w:t>s</w:t>
      </w:r>
      <w:r w:rsidRPr="00EB690B">
        <w:t xml:space="preserve"> </w:t>
      </w:r>
      <w:r>
        <w:t xml:space="preserve">about the </w:t>
      </w:r>
      <w:r w:rsidRPr="00EB690B">
        <w:t xml:space="preserve">subsidized agriculture </w:t>
      </w:r>
      <w:r>
        <w:t>loan providing by MADB.  First, there is a risk that clients will try to source multiple loans and become overburdened.  Second, in 2013 it was observed that many clients refrained from taking Pact loans in anticipation of receiving subsidized MADB loans.  As generally happens with similar subsidized loan programs, many people were not able to access the loans and finally came to Pact at the last moment.  In the future, similar actions could lead to farmers missing the planting season.</w:t>
      </w:r>
    </w:p>
    <w:p w:rsidR="00A76661" w:rsidRPr="00EB690B" w:rsidRDefault="00A76661" w:rsidP="00A76661">
      <w:pPr>
        <w:spacing w:before="120" w:after="120" w:line="240" w:lineRule="auto"/>
        <w:jc w:val="both"/>
        <w:rPr>
          <w:rFonts w:ascii="Zawgyi-One" w:eastAsiaTheme="minorHAnsi" w:hAnsi="Zawgyi-One" w:cs="Zawgyi-One"/>
          <w:b/>
          <w:sz w:val="18"/>
          <w:szCs w:val="18"/>
        </w:rPr>
      </w:pPr>
      <w:r w:rsidRPr="00EB690B">
        <w:t xml:space="preserve">The big challenge for </w:t>
      </w:r>
      <w:r>
        <w:t>PACT</w:t>
      </w:r>
      <w:r w:rsidRPr="00EB690B">
        <w:t xml:space="preserve"> is how to meet Agro-Trading loans target in </w:t>
      </w:r>
      <w:r>
        <w:t xml:space="preserve">the </w:t>
      </w:r>
      <w:r w:rsidRPr="00EB690B">
        <w:t xml:space="preserve">coming year. According to </w:t>
      </w:r>
      <w:r>
        <w:t xml:space="preserve">the </w:t>
      </w:r>
      <w:r w:rsidRPr="00EB690B">
        <w:t xml:space="preserve">nature of livelihoods in Delta zone, paddy production is the main sector and the rest of priority should be off farm trading, fishery production, livestock production, livestock and agro- trading. In Delta area, agri and livestock trading are done by big traders in such a monopolistic way that small farmers and fishers were not able to participate in the market. Therefore, </w:t>
      </w:r>
      <w:r>
        <w:t xml:space="preserve">the </w:t>
      </w:r>
      <w:r w:rsidRPr="00EB690B">
        <w:t xml:space="preserve">share of agro-trading should belong to just a small segment in </w:t>
      </w:r>
      <w:r>
        <w:t xml:space="preserve">the </w:t>
      </w:r>
      <w:r w:rsidRPr="00EB690B">
        <w:t>business plan. However, new loan products such as group loans for aqua-trading could be a suitable match because it was learnt that ADRA has started group business after value-chain study and it now is being to its track for buying and selling of value added aqua-products</w:t>
      </w:r>
      <w:r w:rsidRPr="00EB690B">
        <w:rPr>
          <w:rFonts w:ascii="Zawgyi-One" w:eastAsiaTheme="minorHAnsi" w:hAnsi="Zawgyi-One" w:cs="Zawgyi-One"/>
          <w:b/>
          <w:sz w:val="18"/>
          <w:szCs w:val="18"/>
        </w:rPr>
        <w:t>.</w:t>
      </w:r>
    </w:p>
    <w:p w:rsidR="00737E89" w:rsidRPr="00AD72C0" w:rsidRDefault="009A08F2" w:rsidP="003D28D6">
      <w:pPr>
        <w:spacing w:before="120" w:after="120" w:line="240" w:lineRule="auto"/>
        <w:jc w:val="both"/>
        <w:rPr>
          <w:rFonts w:cs="Calibri"/>
          <w:b/>
          <w:u w:val="single"/>
        </w:rPr>
      </w:pPr>
      <w:r w:rsidRPr="003B7EBA">
        <w:rPr>
          <w:b/>
          <w:u w:val="single"/>
        </w:rPr>
        <w:t>A</w:t>
      </w:r>
      <w:r w:rsidR="00AD0E7E" w:rsidRPr="003B7EBA">
        <w:rPr>
          <w:b/>
          <w:u w:val="single"/>
        </w:rPr>
        <w:t>chievement towards targets and evaluate that progress in terms of overall challenges and issues</w:t>
      </w:r>
    </w:p>
    <w:p w:rsidR="00A17F16" w:rsidRDefault="00AD72C0" w:rsidP="000D7D39">
      <w:pPr>
        <w:spacing w:before="120" w:after="120" w:line="240" w:lineRule="auto"/>
        <w:jc w:val="both"/>
      </w:pPr>
      <w:r>
        <w:t>During the reporting period, t</w:t>
      </w:r>
      <w:r w:rsidR="00A17F16" w:rsidRPr="006B5C85">
        <w:t xml:space="preserve">he project provided MF services to </w:t>
      </w:r>
      <w:r w:rsidR="00FB282D">
        <w:t>4,965</w:t>
      </w:r>
      <w:r w:rsidR="00A17F16" w:rsidRPr="00AD72C0">
        <w:t xml:space="preserve"> </w:t>
      </w:r>
      <w:r w:rsidR="00121F3D">
        <w:t xml:space="preserve">new </w:t>
      </w:r>
      <w:r w:rsidR="00A17F16" w:rsidRPr="006B5C85">
        <w:t>client households from 2</w:t>
      </w:r>
      <w:r w:rsidR="00FB282D">
        <w:t>63</w:t>
      </w:r>
      <w:r w:rsidR="00A17F16" w:rsidRPr="006B5C85">
        <w:t xml:space="preserve"> villages in the form of agriculture and other loans</w:t>
      </w:r>
      <w:r w:rsidR="00FB282D">
        <w:t>, accessing to new 5,134 numbers of loan</w:t>
      </w:r>
      <w:r w:rsidR="00FB282D" w:rsidRPr="00B2717C">
        <w:t xml:space="preserve">. As of December, 2013 total client recruitment reached 13,378 increasing by </w:t>
      </w:r>
      <w:r w:rsidR="00FB282D">
        <w:t>4,965</w:t>
      </w:r>
      <w:r w:rsidR="00FB282D" w:rsidRPr="00B2717C">
        <w:t xml:space="preserve"> during the reporting period. </w:t>
      </w:r>
      <w:r w:rsidR="00FB282D">
        <w:t xml:space="preserve">Total </w:t>
      </w:r>
      <w:r w:rsidR="00A17F16" w:rsidRPr="006B5C85">
        <w:t>Loan disbursement targets and accomplishments a</w:t>
      </w:r>
      <w:r w:rsidR="005C3F4A">
        <w:t>re summarized in the table (1)</w:t>
      </w:r>
      <w:r w:rsidR="00FB282D">
        <w:t xml:space="preserve"> and new </w:t>
      </w:r>
      <w:r w:rsidR="00FB282D" w:rsidRPr="006B5C85">
        <w:t>Loan disbursement targets and accomplishments a</w:t>
      </w:r>
      <w:r w:rsidR="00FB282D">
        <w:t>re summarized in the table (2)</w:t>
      </w:r>
      <w:r w:rsidR="005C3F4A">
        <w:t>.</w:t>
      </w:r>
      <w:r>
        <w:t xml:space="preserve"> </w:t>
      </w:r>
    </w:p>
    <w:p w:rsidR="003B7EBA" w:rsidRDefault="00A17F16" w:rsidP="00A17F16">
      <w:pPr>
        <w:spacing w:before="120" w:after="120" w:line="240" w:lineRule="auto"/>
        <w:jc w:val="both"/>
      </w:pPr>
      <w:r w:rsidRPr="00A62533">
        <w:t xml:space="preserve">Among the targeted loan </w:t>
      </w:r>
      <w:r w:rsidR="00C22A0C" w:rsidRPr="00A62533">
        <w:t xml:space="preserve">products, agro-trading loan </w:t>
      </w:r>
      <w:r w:rsidRPr="00A62533">
        <w:t xml:space="preserve">only achieved </w:t>
      </w:r>
      <w:r w:rsidR="00A62533" w:rsidRPr="00A62533">
        <w:t>32</w:t>
      </w:r>
      <w:r w:rsidRPr="00A62533">
        <w:t xml:space="preserve">% in terms of </w:t>
      </w:r>
      <w:r w:rsidR="00C22A0C" w:rsidRPr="00A62533">
        <w:t>no</w:t>
      </w:r>
      <w:r w:rsidR="00A62533">
        <w:t>.</w:t>
      </w:r>
      <w:r w:rsidR="00C22A0C" w:rsidRPr="00A62533">
        <w:t xml:space="preserve"> of loans</w:t>
      </w:r>
      <w:r w:rsidRPr="00A62533">
        <w:t xml:space="preserve"> </w:t>
      </w:r>
      <w:r w:rsidR="00A62533" w:rsidRPr="00A62533">
        <w:t>but</w:t>
      </w:r>
      <w:r w:rsidR="00A62533">
        <w:t xml:space="preserve"> achieved</w:t>
      </w:r>
      <w:r w:rsidR="00A62533" w:rsidRPr="00A62533">
        <w:t xml:space="preserve"> 142</w:t>
      </w:r>
      <w:r w:rsidR="000D7D39" w:rsidRPr="00A62533">
        <w:t xml:space="preserve"> </w:t>
      </w:r>
      <w:r w:rsidR="00C22A0C" w:rsidRPr="00A62533">
        <w:t>% in value terms</w:t>
      </w:r>
      <w:r w:rsidR="00A62533" w:rsidRPr="00A62533">
        <w:t>.  A</w:t>
      </w:r>
      <w:r w:rsidR="00DD4FF8" w:rsidRPr="00A62533">
        <w:t>s explained in above agr</w:t>
      </w:r>
      <w:r w:rsidR="003B7EBA">
        <w:t>o-</w:t>
      </w:r>
      <w:r w:rsidR="00DD4FF8" w:rsidRPr="00A62533">
        <w:t xml:space="preserve">trading are done by big traders in such a monopolistic way that small farmers and fishers were not able to </w:t>
      </w:r>
      <w:r w:rsidR="00A62533" w:rsidRPr="00A62533">
        <w:t>compete them</w:t>
      </w:r>
      <w:r w:rsidR="00DD4FF8" w:rsidRPr="00A62533">
        <w:t xml:space="preserve"> in the market. A</w:t>
      </w:r>
      <w:r w:rsidR="0034592F" w:rsidRPr="00A62533">
        <w:t xml:space="preserve">chievement of </w:t>
      </w:r>
      <w:r w:rsidR="00A62533">
        <w:t xml:space="preserve">Agricultural, Livestock and Off-farm </w:t>
      </w:r>
      <w:r w:rsidR="0034592F" w:rsidRPr="00A62533">
        <w:t>loan</w:t>
      </w:r>
      <w:r w:rsidR="00A62533">
        <w:t xml:space="preserve">s were </w:t>
      </w:r>
      <w:r w:rsidR="003B7EBA">
        <w:t>astoundingly</w:t>
      </w:r>
      <w:r w:rsidR="00A62533">
        <w:t xml:space="preserve"> reaching 134%, 236% and 364% </w:t>
      </w:r>
      <w:r w:rsidR="003B7EBA">
        <w:t>respectively</w:t>
      </w:r>
      <w:r w:rsidR="00DD4FF8" w:rsidRPr="00A62533">
        <w:t xml:space="preserve">. </w:t>
      </w:r>
    </w:p>
    <w:p w:rsidR="00A17F16" w:rsidRPr="00C22A0C" w:rsidRDefault="004F2B3C" w:rsidP="00A17F16">
      <w:pPr>
        <w:spacing w:before="120" w:after="120" w:line="240" w:lineRule="auto"/>
        <w:jc w:val="both"/>
      </w:pPr>
      <w:r w:rsidRPr="00A62533">
        <w:t>UNDP</w:t>
      </w:r>
      <w:r>
        <w:t>/PACT</w:t>
      </w:r>
      <w:r w:rsidR="00F409C7">
        <w:t xml:space="preserve">’s concern is MADB </w:t>
      </w:r>
      <w:r w:rsidR="00F028F2">
        <w:t>loans</w:t>
      </w:r>
      <w:r w:rsidR="000253ED">
        <w:t>;</w:t>
      </w:r>
      <w:r w:rsidR="00F028F2">
        <w:t xml:space="preserve"> </w:t>
      </w:r>
      <w:r>
        <w:t>UNDP/PACT</w:t>
      </w:r>
      <w:r w:rsidR="00F409C7">
        <w:t xml:space="preserve"> could not compete</w:t>
      </w:r>
      <w:r w:rsidR="000253ED">
        <w:t xml:space="preserve"> due to</w:t>
      </w:r>
      <w:r w:rsidR="00F409C7">
        <w:t xml:space="preserve"> government assistance that </w:t>
      </w:r>
      <w:r w:rsidR="004307D2">
        <w:t>provides</w:t>
      </w:r>
      <w:r w:rsidR="00F409C7">
        <w:t xml:space="preserve"> loans with subsidized interest rate</w:t>
      </w:r>
      <w:r w:rsidR="000253ED">
        <w:t>, where</w:t>
      </w:r>
      <w:r w:rsidR="00F409C7">
        <w:t xml:space="preserve"> </w:t>
      </w:r>
      <w:r w:rsidR="000253ED">
        <w:t xml:space="preserve">the </w:t>
      </w:r>
      <w:r w:rsidR="00F409C7">
        <w:t xml:space="preserve">amount is </w:t>
      </w:r>
      <w:r w:rsidR="00F028F2">
        <w:t>larger</w:t>
      </w:r>
      <w:r w:rsidR="00F409C7">
        <w:t xml:space="preserve"> and </w:t>
      </w:r>
      <w:r w:rsidR="00F028F2">
        <w:t xml:space="preserve">collection of </w:t>
      </w:r>
      <w:r w:rsidR="00F409C7">
        <w:t xml:space="preserve">all principal and interest </w:t>
      </w:r>
      <w:r w:rsidR="00F028F2">
        <w:t xml:space="preserve">is </w:t>
      </w:r>
      <w:r w:rsidR="00F409C7">
        <w:t>at the harvesting period.</w:t>
      </w:r>
    </w:p>
    <w:p w:rsidR="00921AD8" w:rsidRPr="00921AD8" w:rsidRDefault="00921AD8" w:rsidP="00A6145B">
      <w:pPr>
        <w:spacing w:before="120" w:after="120" w:line="240" w:lineRule="auto"/>
        <w:jc w:val="both"/>
        <w:rPr>
          <w:b/>
          <w:u w:val="single"/>
        </w:rPr>
      </w:pPr>
      <w:r w:rsidRPr="00E5777F">
        <w:rPr>
          <w:b/>
          <w:u w:val="single"/>
        </w:rPr>
        <w:t>Gender and other cross-cutting themes</w:t>
      </w:r>
    </w:p>
    <w:p w:rsidR="00A6145B" w:rsidRPr="0034592F" w:rsidRDefault="00F409C7" w:rsidP="00A6145B">
      <w:pPr>
        <w:spacing w:before="120" w:after="120" w:line="240" w:lineRule="auto"/>
        <w:jc w:val="both"/>
      </w:pPr>
      <w:r>
        <w:t>UNDP/</w:t>
      </w:r>
      <w:r w:rsidR="004F2B3C">
        <w:t>UNDP/PACT</w:t>
      </w:r>
      <w:r w:rsidR="00A6145B" w:rsidRPr="002B5886">
        <w:t xml:space="preserve"> gives priority to women while recruiting clients in all zones </w:t>
      </w:r>
      <w:r>
        <w:t>and</w:t>
      </w:r>
      <w:r w:rsidR="00A6145B" w:rsidRPr="002B5886">
        <w:t xml:space="preserve"> Delta </w:t>
      </w:r>
      <w:r>
        <w:t>is no exception</w:t>
      </w:r>
      <w:r w:rsidR="00A6145B" w:rsidRPr="002B5886">
        <w:t xml:space="preserve">. To accept farmers in the program in coordination with other IPs, the project relaxes some client criteria such as accepting male clients to fulfill the farming capital requirement from households where no qualified woman exists in the family. Male-female ratio in the LIFT II Delta project is now 2:98. </w:t>
      </w:r>
      <w:r w:rsidR="00A6145B" w:rsidRPr="0034592F">
        <w:t xml:space="preserve">Among women </w:t>
      </w:r>
      <w:r w:rsidR="00FB282D">
        <w:t>4,832</w:t>
      </w:r>
      <w:r w:rsidR="0034592F" w:rsidRPr="0034592F">
        <w:t xml:space="preserve"> </w:t>
      </w:r>
      <w:r w:rsidR="00A6145B" w:rsidRPr="0034592F">
        <w:t xml:space="preserve">clients, </w:t>
      </w:r>
      <w:r w:rsidR="00FB282D">
        <w:t>44</w:t>
      </w:r>
      <w:r>
        <w:t xml:space="preserve"> clients came from </w:t>
      </w:r>
      <w:r w:rsidR="00A6145B" w:rsidRPr="00EE446C">
        <w:t>women-headed hous</w:t>
      </w:r>
      <w:r>
        <w:t>eholds</w:t>
      </w:r>
      <w:r w:rsidR="00A6145B" w:rsidRPr="00EE446C">
        <w:t xml:space="preserve">. </w:t>
      </w:r>
      <w:r w:rsidR="00FB282D">
        <w:t>There are 189</w:t>
      </w:r>
      <w:r w:rsidR="00A6145B" w:rsidRPr="0034592F">
        <w:t xml:space="preserve"> </w:t>
      </w:r>
      <w:r w:rsidR="00FB282D">
        <w:t>staff</w:t>
      </w:r>
      <w:r w:rsidR="00A6145B" w:rsidRPr="0034592F">
        <w:t xml:space="preserve"> assigned to the LIFT funded Delta II MF project, of which 11</w:t>
      </w:r>
      <w:r w:rsidR="00FB282D">
        <w:t>0 are women (58</w:t>
      </w:r>
      <w:r w:rsidR="00A6145B" w:rsidRPr="0034592F">
        <w:t>%).</w:t>
      </w:r>
    </w:p>
    <w:p w:rsidR="00A6145B" w:rsidRPr="00AD72C0" w:rsidRDefault="00614C1B" w:rsidP="003D28D6">
      <w:pPr>
        <w:spacing w:before="120" w:after="120" w:line="240" w:lineRule="auto"/>
        <w:jc w:val="both"/>
        <w:rPr>
          <w:b/>
          <w:u w:val="single"/>
        </w:rPr>
      </w:pPr>
      <w:r w:rsidRPr="00AD72C0">
        <w:rPr>
          <w:b/>
          <w:u w:val="single"/>
        </w:rPr>
        <w:t xml:space="preserve"> </w:t>
      </w:r>
      <w:r w:rsidRPr="00E5777F">
        <w:rPr>
          <w:b/>
          <w:u w:val="single"/>
        </w:rPr>
        <w:t>Issues which have program or policy level implication</w:t>
      </w:r>
      <w:r w:rsidR="00DF4E4A" w:rsidRPr="00E5777F">
        <w:rPr>
          <w:b/>
          <w:u w:val="single"/>
        </w:rPr>
        <w:t>s</w:t>
      </w:r>
    </w:p>
    <w:p w:rsidR="00FB282D" w:rsidRDefault="00FB282D" w:rsidP="00FB282D">
      <w:pPr>
        <w:spacing w:before="120" w:after="120" w:line="240" w:lineRule="auto"/>
        <w:jc w:val="both"/>
      </w:pPr>
      <w:r w:rsidRPr="00212270">
        <w:t>High rate of dormant and dropout clients was the major challenge for the Delta MFP</w:t>
      </w:r>
      <w:r>
        <w:t xml:space="preserve"> during reporting period</w:t>
      </w:r>
      <w:r w:rsidRPr="00212270">
        <w:t xml:space="preserve">; dormant per active clients was 12.02% whereas dropout per recruited clients, 8.24%. Dropout is high mostly </w:t>
      </w:r>
      <w:r w:rsidRPr="00212270">
        <w:lastRenderedPageBreak/>
        <w:t>due to migration, as there was lack of job opportunities in the villages. Some also dropped out after exclusion by MFC due to their inability to abide by the rules and regulation</w:t>
      </w:r>
      <w:r>
        <w:t>s</w:t>
      </w:r>
      <w:r w:rsidRPr="00212270">
        <w:t xml:space="preserve"> and the credit discipline. All levels of project staff were trying to find out appropriate ways and means to solve that problem. </w:t>
      </w:r>
    </w:p>
    <w:p w:rsidR="00FB282D" w:rsidRPr="00212270" w:rsidRDefault="00FB282D" w:rsidP="00FB282D">
      <w:pPr>
        <w:spacing w:before="120" w:after="120" w:line="240" w:lineRule="auto"/>
        <w:jc w:val="both"/>
      </w:pPr>
      <w:r w:rsidRPr="003060A4">
        <w:t>Another risk which affects the program is delinquency;132 farmers failed to payback loan amount of 30.32 million Kyats as of December, 2013, composing 1.98% of total loan outstanding of 1,532 Million Kyat or 1.64 Million US$. The delinquency was due to crop failure in year one and migration issues in Year2, among which most portion was from Year 1. As a response from management, field staff made frequent visits to those villages and discuss individually to fulfill the obligation of making repayments.</w:t>
      </w:r>
    </w:p>
    <w:p w:rsidR="00614C1B" w:rsidRPr="00AD72C0" w:rsidRDefault="009A08F2" w:rsidP="003D28D6">
      <w:pPr>
        <w:spacing w:before="120" w:after="120" w:line="240" w:lineRule="auto"/>
        <w:jc w:val="both"/>
        <w:rPr>
          <w:b/>
          <w:u w:val="single"/>
        </w:rPr>
      </w:pPr>
      <w:r w:rsidRPr="00E5777F">
        <w:rPr>
          <w:b/>
          <w:u w:val="single"/>
        </w:rPr>
        <w:t>T</w:t>
      </w:r>
      <w:r w:rsidR="00614C1B" w:rsidRPr="00E5777F">
        <w:rPr>
          <w:b/>
          <w:u w:val="single"/>
        </w:rPr>
        <w:t>echnical issues which others may be interested in/able to use</w:t>
      </w:r>
    </w:p>
    <w:p w:rsidR="002F35B8" w:rsidRDefault="002F35B8" w:rsidP="002F35B8">
      <w:pPr>
        <w:spacing w:before="120" w:after="120" w:line="240" w:lineRule="auto"/>
        <w:jc w:val="both"/>
      </w:pPr>
      <w:r w:rsidRPr="00212270">
        <w:t xml:space="preserve">Computerization in the branches is required to streamline daily credit operation and reporting. </w:t>
      </w:r>
      <w:r>
        <w:t>Last year</w:t>
      </w:r>
      <w:r w:rsidRPr="00212270">
        <w:t xml:space="preserve">, computerization experts studied the price of hardware, status of network and communication facilities available in the country. In addition, </w:t>
      </w:r>
      <w:r>
        <w:t>PACT</w:t>
      </w:r>
      <w:r w:rsidRPr="00212270">
        <w:t xml:space="preserve"> has selected pilot branches for installing the system, and recruited personnel for IT department. A computerization steering committee has been established to ensure smooth implementation.</w:t>
      </w:r>
      <w:r>
        <w:t xml:space="preserve"> Now, the procedures are underway which is indispensable for computerization; data migration, test run, parallel run and roll out. New computerized system of operation, finance and reporting will initiate in the early part of 2015. </w:t>
      </w:r>
    </w:p>
    <w:p w:rsidR="00A45070" w:rsidRPr="00AD72C0" w:rsidRDefault="009A08F2" w:rsidP="00235DD0">
      <w:pPr>
        <w:spacing w:before="120" w:after="120" w:line="240" w:lineRule="auto"/>
        <w:jc w:val="both"/>
        <w:rPr>
          <w:b/>
          <w:u w:val="single"/>
        </w:rPr>
      </w:pPr>
      <w:r w:rsidRPr="00E5777F">
        <w:rPr>
          <w:b/>
          <w:u w:val="single"/>
        </w:rPr>
        <w:t>R</w:t>
      </w:r>
      <w:r w:rsidR="00985349" w:rsidRPr="00E5777F">
        <w:rPr>
          <w:b/>
          <w:u w:val="single"/>
        </w:rPr>
        <w:t>esults which can be replicated or scaled up?</w:t>
      </w:r>
    </w:p>
    <w:p w:rsidR="002F35B8" w:rsidRPr="005D072A" w:rsidRDefault="002F35B8" w:rsidP="002F35B8">
      <w:pPr>
        <w:spacing w:before="120" w:after="120" w:line="240" w:lineRule="auto"/>
        <w:jc w:val="both"/>
      </w:pPr>
      <w:r w:rsidRPr="005D072A">
        <w:t xml:space="preserve">Not significant results which can be scaled up or replicate because the implementation has </w:t>
      </w:r>
      <w:r>
        <w:t xml:space="preserve">not yet attained </w:t>
      </w:r>
      <w:r w:rsidRPr="005D072A">
        <w:t xml:space="preserve"> </w:t>
      </w:r>
      <w:r>
        <w:t>two</w:t>
      </w:r>
      <w:r w:rsidRPr="005D072A">
        <w:t xml:space="preserve"> year. During last June, participatory in-depth data collection was done all over the country in which LIFT II area included. A total of 342 household were interviewed and it was found that 48.83% of household increased their income, where 37.15% of 179 non-agricultural household increase income. To extrapolate the findings, it can be concluded that 5,827 households increased their income where 2,320 are non-agricultural households. </w:t>
      </w:r>
    </w:p>
    <w:p w:rsidR="002F35B8" w:rsidRPr="00C75703" w:rsidRDefault="002F35B8" w:rsidP="002F35B8">
      <w:pPr>
        <w:spacing w:after="120"/>
        <w:jc w:val="both"/>
      </w:pPr>
      <w:r>
        <w:t>PACT</w:t>
      </w:r>
      <w:r w:rsidRPr="00C75703">
        <w:t xml:space="preserve"> strongly believes that a safety net is required for microfinance beneficiaries as they are prone to hardships. It affects the beneficiaries as well as service providers when they encounter hardships. </w:t>
      </w:r>
      <w:r>
        <w:t>A safety net</w:t>
      </w:r>
      <w:r w:rsidRPr="00C75703">
        <w:t xml:space="preserve"> eases the pain and shock for the beneficiaries and helps maintain the level of sustainability for the program as well. </w:t>
      </w:r>
      <w:r>
        <w:t>PACT</w:t>
      </w:r>
      <w:r w:rsidRPr="00C75703">
        <w:t xml:space="preserve"> has a Beneficiary Welfare Fund for all microfinance members and provides assistance in case of loss of life and loss of properties. Cash assistance for child delivery cases of microfinance clients was recently introduced with the objective of reducing mortality rate during child birth and caring mothers.  </w:t>
      </w:r>
    </w:p>
    <w:p w:rsidR="00235DD0" w:rsidRPr="005C3F4A" w:rsidRDefault="00235DD0" w:rsidP="00AD72C0">
      <w:pPr>
        <w:pBdr>
          <w:bottom w:val="single" w:sz="4" w:space="1" w:color="auto"/>
        </w:pBdr>
        <w:rPr>
          <w:b/>
          <w:bCs/>
        </w:rPr>
      </w:pPr>
      <w:r w:rsidRPr="00E5777F">
        <w:rPr>
          <w:b/>
        </w:rPr>
        <w:t>Process</w:t>
      </w:r>
      <w:r w:rsidR="005C3F4A" w:rsidRPr="00E5777F">
        <w:rPr>
          <w:b/>
        </w:rPr>
        <w:t>es</w:t>
      </w:r>
    </w:p>
    <w:p w:rsidR="00A45070" w:rsidRPr="00AD72C0" w:rsidRDefault="009A08F2" w:rsidP="00980C75">
      <w:pPr>
        <w:pStyle w:val="ListParagraph"/>
        <w:numPr>
          <w:ilvl w:val="0"/>
          <w:numId w:val="6"/>
        </w:numPr>
        <w:spacing w:before="120" w:after="120"/>
        <w:jc w:val="both"/>
        <w:rPr>
          <w:b/>
          <w:u w:val="single"/>
        </w:rPr>
      </w:pPr>
      <w:r w:rsidRPr="00AD72C0">
        <w:rPr>
          <w:b/>
          <w:u w:val="single"/>
        </w:rPr>
        <w:t>Coordination</w:t>
      </w:r>
      <w:r w:rsidR="00AD72C0" w:rsidRPr="00AD72C0">
        <w:rPr>
          <w:b/>
          <w:u w:val="single"/>
        </w:rPr>
        <w:t xml:space="preserve"> </w:t>
      </w:r>
      <w:r w:rsidR="00985349" w:rsidRPr="00AD72C0">
        <w:rPr>
          <w:b/>
          <w:u w:val="single"/>
        </w:rPr>
        <w:t>with the local authorities and relevant line department staff and what results you have changed.</w:t>
      </w:r>
    </w:p>
    <w:p w:rsidR="002F35B8" w:rsidRDefault="002F35B8" w:rsidP="002F35B8">
      <w:pPr>
        <w:pStyle w:val="ListParagraph"/>
        <w:spacing w:before="120" w:after="120"/>
        <w:jc w:val="both"/>
      </w:pPr>
      <w:r w:rsidRPr="00254E72">
        <w:t xml:space="preserve">With the combined efforts of all IPs, despite the shortfall in agriculture and agro-trading loan, the rest of other loan type were </w:t>
      </w:r>
      <w:r>
        <w:t>promising</w:t>
      </w:r>
      <w:r w:rsidRPr="00254E72">
        <w:t>. In this course, PACT worked closely with local authorities and other IPs for the timely disbursement.</w:t>
      </w:r>
      <w:r w:rsidRPr="00E73678">
        <w:rPr>
          <w:color w:val="FF0000"/>
        </w:rPr>
        <w:t xml:space="preserve"> </w:t>
      </w:r>
      <w:r w:rsidRPr="00254E72">
        <w:t xml:space="preserve">Village administrators provided support by gathering beneficiaries of the IPs for sensitizing process. The project applied the solidarity group lending methodology for agriculture loans and emphasized on group solidarity to ensure loan guarantee. Village administrators were also involved in resolving loan delinquency issues. Most of the authorities helped and showed interest in our program because of the government road map to reduce poverty. </w:t>
      </w:r>
    </w:p>
    <w:p w:rsidR="000507FD" w:rsidRPr="00AD72C0" w:rsidRDefault="00256BFE" w:rsidP="00980C75">
      <w:pPr>
        <w:pStyle w:val="ListParagraph"/>
        <w:spacing w:before="120" w:after="120"/>
        <w:jc w:val="both"/>
        <w:rPr>
          <w:b/>
          <w:u w:val="single"/>
        </w:rPr>
      </w:pPr>
      <w:r w:rsidRPr="00AD72C0">
        <w:rPr>
          <w:b/>
          <w:u w:val="single"/>
        </w:rPr>
        <w:t>D</w:t>
      </w:r>
      <w:r w:rsidR="000507FD" w:rsidRPr="00AD72C0">
        <w:rPr>
          <w:b/>
          <w:u w:val="single"/>
        </w:rPr>
        <w:t>ifficulties or restrictions you experience</w:t>
      </w:r>
    </w:p>
    <w:p w:rsidR="00B6481C" w:rsidRPr="002B1EA6" w:rsidRDefault="00254993" w:rsidP="00980C75">
      <w:pPr>
        <w:pStyle w:val="ListParagraph"/>
        <w:spacing w:before="120" w:after="120"/>
        <w:jc w:val="both"/>
      </w:pPr>
      <w:r>
        <w:t>No difficulties or restriction</w:t>
      </w:r>
    </w:p>
    <w:p w:rsidR="000507FD" w:rsidRDefault="00256BFE" w:rsidP="00980C75">
      <w:pPr>
        <w:pStyle w:val="ListParagraph"/>
        <w:numPr>
          <w:ilvl w:val="0"/>
          <w:numId w:val="6"/>
        </w:numPr>
        <w:spacing w:before="120" w:after="120"/>
        <w:jc w:val="both"/>
        <w:rPr>
          <w:b/>
          <w:u w:val="single"/>
        </w:rPr>
      </w:pPr>
      <w:r w:rsidRPr="00AD72C0">
        <w:rPr>
          <w:b/>
          <w:u w:val="single"/>
        </w:rPr>
        <w:t>E</w:t>
      </w:r>
      <w:r w:rsidR="000507FD" w:rsidRPr="00AD72C0">
        <w:rPr>
          <w:b/>
          <w:u w:val="single"/>
        </w:rPr>
        <w:t>xperience of coordination with private sector actors.</w:t>
      </w:r>
    </w:p>
    <w:p w:rsidR="00AD72C0" w:rsidRPr="00AD72C0" w:rsidRDefault="00AD72C0" w:rsidP="00980C75">
      <w:pPr>
        <w:pStyle w:val="ListParagraph"/>
        <w:spacing w:before="120" w:after="120"/>
        <w:jc w:val="both"/>
      </w:pPr>
      <w:r w:rsidRPr="00AD72C0">
        <w:t>No experience of coordination with private sector actors</w:t>
      </w:r>
    </w:p>
    <w:p w:rsidR="009A08F2" w:rsidRPr="00AD72C0" w:rsidRDefault="00D9149A" w:rsidP="00980C75">
      <w:pPr>
        <w:pStyle w:val="ListParagraph"/>
        <w:numPr>
          <w:ilvl w:val="0"/>
          <w:numId w:val="6"/>
        </w:numPr>
        <w:spacing w:before="120" w:after="120"/>
        <w:jc w:val="both"/>
        <w:rPr>
          <w:b/>
          <w:u w:val="single"/>
        </w:rPr>
      </w:pPr>
      <w:r w:rsidRPr="00E5777F">
        <w:rPr>
          <w:b/>
          <w:u w:val="single"/>
        </w:rPr>
        <w:lastRenderedPageBreak/>
        <w:t>Comments on the participation of women in activities</w:t>
      </w:r>
      <w:r w:rsidR="00D83742" w:rsidRPr="00E5777F">
        <w:rPr>
          <w:b/>
          <w:u w:val="single"/>
        </w:rPr>
        <w:t>. The strategies utilized to mainstream</w:t>
      </w:r>
      <w:r w:rsidR="00D83742" w:rsidRPr="00AD72C0">
        <w:rPr>
          <w:b/>
          <w:u w:val="single"/>
        </w:rPr>
        <w:t xml:space="preserve"> genders are as follows</w:t>
      </w:r>
    </w:p>
    <w:p w:rsidR="00D83742" w:rsidRPr="00AD72C0" w:rsidRDefault="00D83742" w:rsidP="00980C75">
      <w:pPr>
        <w:pStyle w:val="ListParagraph"/>
        <w:spacing w:before="120" w:after="120"/>
        <w:jc w:val="both"/>
        <w:rPr>
          <w:u w:val="single"/>
        </w:rPr>
      </w:pPr>
      <w:r w:rsidRPr="00AD72C0">
        <w:rPr>
          <w:u w:val="single"/>
        </w:rPr>
        <w:t>Results in democratic participation</w:t>
      </w:r>
    </w:p>
    <w:p w:rsidR="00D83742" w:rsidRPr="00AD72C0" w:rsidRDefault="00D83742" w:rsidP="00980C75">
      <w:pPr>
        <w:pStyle w:val="ListParagraph"/>
        <w:spacing w:before="120" w:after="120"/>
        <w:jc w:val="both"/>
        <w:rPr>
          <w:szCs w:val="22"/>
          <w:lang w:val="en-GB"/>
        </w:rPr>
      </w:pPr>
      <w:r w:rsidRPr="00254993">
        <w:rPr>
          <w:szCs w:val="22"/>
          <w:lang w:val="en-GB"/>
        </w:rPr>
        <w:t>Before project intervention in 2</w:t>
      </w:r>
      <w:r w:rsidR="002F35B8">
        <w:rPr>
          <w:szCs w:val="22"/>
          <w:lang w:val="en-GB"/>
        </w:rPr>
        <w:t>63</w:t>
      </w:r>
      <w:r w:rsidRPr="00254993">
        <w:rPr>
          <w:szCs w:val="22"/>
          <w:lang w:val="en-GB"/>
        </w:rPr>
        <w:t xml:space="preserve"> villages, </w:t>
      </w:r>
      <w:r w:rsidRPr="002B1EA6">
        <w:rPr>
          <w:szCs w:val="22"/>
          <w:lang w:val="en-GB"/>
        </w:rPr>
        <w:t>there was no such kind of process of group forming activities where women are solely selecting their own peer members to form groups, electing their leaders and join in participatory decision making activities at the ground level of community, particularly for the increased role of women in the community</w:t>
      </w:r>
      <w:r w:rsidRPr="00AD72C0">
        <w:rPr>
          <w:szCs w:val="22"/>
          <w:lang w:val="en-GB"/>
        </w:rPr>
        <w:t xml:space="preserve">. As of </w:t>
      </w:r>
      <w:r w:rsidR="002F35B8">
        <w:rPr>
          <w:szCs w:val="22"/>
          <w:lang w:val="en-GB"/>
        </w:rPr>
        <w:t>Dec</w:t>
      </w:r>
      <w:r w:rsidRPr="00AD72C0">
        <w:rPr>
          <w:szCs w:val="22"/>
          <w:lang w:val="en-GB"/>
        </w:rPr>
        <w:t xml:space="preserve"> 201</w:t>
      </w:r>
      <w:r w:rsidR="002B1EA6" w:rsidRPr="00AD72C0">
        <w:rPr>
          <w:szCs w:val="22"/>
          <w:lang w:val="en-GB"/>
        </w:rPr>
        <w:t>3</w:t>
      </w:r>
      <w:r w:rsidRPr="00AD72C0">
        <w:rPr>
          <w:szCs w:val="22"/>
          <w:lang w:val="en-GB"/>
        </w:rPr>
        <w:t>, women from 2</w:t>
      </w:r>
      <w:r w:rsidR="002F35B8">
        <w:rPr>
          <w:szCs w:val="22"/>
          <w:lang w:val="en-GB"/>
        </w:rPr>
        <w:t>63</w:t>
      </w:r>
      <w:r w:rsidR="00B6481C" w:rsidRPr="00AD72C0">
        <w:rPr>
          <w:szCs w:val="22"/>
          <w:lang w:val="en-GB"/>
        </w:rPr>
        <w:t xml:space="preserve"> </w:t>
      </w:r>
      <w:r w:rsidRPr="00AD72C0">
        <w:rPr>
          <w:szCs w:val="22"/>
          <w:lang w:val="en-GB"/>
        </w:rPr>
        <w:t>villages join</w:t>
      </w:r>
      <w:r w:rsidR="00AD72C0" w:rsidRPr="00AD72C0">
        <w:rPr>
          <w:szCs w:val="22"/>
          <w:lang w:val="en-GB"/>
        </w:rPr>
        <w:t xml:space="preserve"> </w:t>
      </w:r>
      <w:r w:rsidRPr="00AD72C0">
        <w:rPr>
          <w:szCs w:val="22"/>
          <w:lang w:val="en-GB"/>
        </w:rPr>
        <w:t xml:space="preserve">in this process and practicing their local level </w:t>
      </w:r>
      <w:r w:rsidRPr="002B1EA6">
        <w:rPr>
          <w:szCs w:val="22"/>
          <w:lang w:val="en-GB"/>
        </w:rPr>
        <w:t xml:space="preserve">leadership and decision making for managing their group activities including loan related decisions concerning accessibility of credit, training and non-credit related activities. During the reporting period, </w:t>
      </w:r>
      <w:r w:rsidRPr="00AD72C0">
        <w:rPr>
          <w:szCs w:val="22"/>
          <w:lang w:val="en-GB"/>
        </w:rPr>
        <w:t>3</w:t>
      </w:r>
      <w:r w:rsidR="00B6481C" w:rsidRPr="00AD72C0">
        <w:rPr>
          <w:szCs w:val="22"/>
          <w:lang w:val="en-GB"/>
        </w:rPr>
        <w:t>41</w:t>
      </w:r>
      <w:r w:rsidRPr="00AD72C0">
        <w:rPr>
          <w:szCs w:val="22"/>
          <w:lang w:val="en-GB"/>
        </w:rPr>
        <w:t xml:space="preserve"> centre leaders were elected. As of end </w:t>
      </w:r>
      <w:r w:rsidR="002F35B8">
        <w:rPr>
          <w:szCs w:val="22"/>
          <w:lang w:val="en-GB"/>
        </w:rPr>
        <w:t>Dec</w:t>
      </w:r>
      <w:r w:rsidRPr="00AD72C0">
        <w:rPr>
          <w:szCs w:val="22"/>
          <w:lang w:val="en-GB"/>
        </w:rPr>
        <w:t xml:space="preserve"> 201</w:t>
      </w:r>
      <w:r w:rsidR="002B1EA6" w:rsidRPr="00AD72C0">
        <w:rPr>
          <w:szCs w:val="22"/>
          <w:lang w:val="en-GB"/>
        </w:rPr>
        <w:t>3</w:t>
      </w:r>
      <w:r w:rsidR="002F35B8">
        <w:rPr>
          <w:szCs w:val="22"/>
          <w:lang w:val="en-GB"/>
        </w:rPr>
        <w:t>, 2,038</w:t>
      </w:r>
      <w:r w:rsidRPr="00AD72C0">
        <w:rPr>
          <w:szCs w:val="22"/>
          <w:lang w:val="en-GB"/>
        </w:rPr>
        <w:t xml:space="preserve"> group leaders were elected.</w:t>
      </w:r>
    </w:p>
    <w:p w:rsidR="00D83742" w:rsidRPr="002B1EA6" w:rsidRDefault="00D83742" w:rsidP="00D83742">
      <w:pPr>
        <w:pStyle w:val="ListParagraph"/>
        <w:spacing w:before="120" w:after="0"/>
        <w:jc w:val="both"/>
        <w:rPr>
          <w:szCs w:val="22"/>
          <w:lang w:val="en-GB"/>
        </w:rPr>
      </w:pPr>
      <w:r w:rsidRPr="002B1EA6">
        <w:rPr>
          <w:szCs w:val="22"/>
          <w:lang w:val="en-GB"/>
        </w:rPr>
        <w:t>The intervention of MFP in the project not only promotes economic empowerment for the women but cultivates and exercises participating at community activities in the community level which is the primary step of ensuring democratic participation toward poverty reduction and achieving civil society developmental goals.</w:t>
      </w:r>
    </w:p>
    <w:p w:rsidR="00D83742" w:rsidRPr="002B1EA6" w:rsidRDefault="00D83742" w:rsidP="00D83742">
      <w:pPr>
        <w:pStyle w:val="ListParagraph"/>
        <w:spacing w:before="120" w:after="0"/>
        <w:jc w:val="both"/>
        <w:rPr>
          <w:szCs w:val="22"/>
          <w:lang w:val="en-GB"/>
        </w:rPr>
      </w:pPr>
      <w:r w:rsidRPr="002B1EA6">
        <w:rPr>
          <w:szCs w:val="22"/>
          <w:lang w:val="en-GB"/>
        </w:rPr>
        <w:t>Although the solidarity methodology applied by MFP, (such as forming five members of credit and saving group on their own among women; selecting their own group leader with their own choice, establishing credit centre in the communities and selecting chairpersons and secretary for each centre) has its core objective, MFP is trying to lay down the basic civil society development platform for encouraging the habit of participation in democratic decision making process in the community level.</w:t>
      </w:r>
    </w:p>
    <w:p w:rsidR="00D83742" w:rsidRPr="00AD72C0" w:rsidRDefault="00D83742" w:rsidP="006F533B">
      <w:pPr>
        <w:pStyle w:val="ListParagraph"/>
        <w:spacing w:before="120" w:after="120"/>
        <w:contextualSpacing w:val="0"/>
        <w:rPr>
          <w:u w:val="single"/>
        </w:rPr>
      </w:pPr>
      <w:bookmarkStart w:id="1" w:name="_Toc267483014"/>
      <w:bookmarkStart w:id="2" w:name="_Toc339969558"/>
      <w:r w:rsidRPr="00AD72C0">
        <w:rPr>
          <w:u w:val="single"/>
        </w:rPr>
        <w:t>Results in decision making authority</w:t>
      </w:r>
      <w:bookmarkEnd w:id="1"/>
      <w:bookmarkEnd w:id="2"/>
    </w:p>
    <w:p w:rsidR="002F35B8" w:rsidRPr="00E639B6" w:rsidRDefault="00D83742" w:rsidP="002F35B8">
      <w:pPr>
        <w:pStyle w:val="ListParagraph"/>
        <w:spacing w:before="120" w:after="120"/>
        <w:contextualSpacing w:val="0"/>
        <w:jc w:val="both"/>
        <w:rPr>
          <w:szCs w:val="22"/>
          <w:lang w:val="en-GB"/>
        </w:rPr>
      </w:pPr>
      <w:r w:rsidRPr="002B1EA6">
        <w:rPr>
          <w:szCs w:val="22"/>
          <w:lang w:val="en-GB"/>
        </w:rPr>
        <w:t>Through with credit from MFP, members can perform income generation activities and playing economic productive roles which help to create a far-reaching improvement of decision making level in domestic level</w:t>
      </w:r>
      <w:r w:rsidRPr="00B6481C">
        <w:rPr>
          <w:color w:val="FF0000"/>
          <w:szCs w:val="22"/>
          <w:lang w:val="en-GB"/>
        </w:rPr>
        <w:t>.</w:t>
      </w:r>
      <w:r w:rsidR="00AD72C0">
        <w:rPr>
          <w:color w:val="FF0000"/>
          <w:szCs w:val="22"/>
          <w:lang w:val="en-GB"/>
        </w:rPr>
        <w:t xml:space="preserve"> </w:t>
      </w:r>
      <w:bookmarkStart w:id="3" w:name="_Toc267469208"/>
      <w:bookmarkStart w:id="4" w:name="_Toc267483015"/>
      <w:bookmarkStart w:id="5" w:name="_Toc339969559"/>
      <w:r w:rsidR="002F35B8">
        <w:rPr>
          <w:szCs w:val="22"/>
          <w:lang w:val="en-GB"/>
        </w:rPr>
        <w:t>With more than 20 months experiences</w:t>
      </w:r>
      <w:r w:rsidR="002F35B8" w:rsidRPr="00902BF7">
        <w:rPr>
          <w:szCs w:val="22"/>
          <w:lang w:val="en-GB"/>
        </w:rPr>
        <w:t xml:space="preserve">, </w:t>
      </w:r>
      <w:r w:rsidR="002F35B8" w:rsidRPr="00E639B6">
        <w:rPr>
          <w:szCs w:val="22"/>
          <w:lang w:val="en-GB"/>
        </w:rPr>
        <w:t>13,138 women joined in the program from which 81.05</w:t>
      </w:r>
      <w:r w:rsidR="002F35B8" w:rsidRPr="00E639B6">
        <w:rPr>
          <w:b/>
        </w:rPr>
        <w:t xml:space="preserve">% </w:t>
      </w:r>
      <w:r w:rsidR="002F35B8" w:rsidRPr="00E639B6">
        <w:t>(</w:t>
      </w:r>
      <w:r w:rsidR="002F35B8" w:rsidRPr="00E639B6">
        <w:rPr>
          <w:szCs w:val="22"/>
          <w:lang w:val="en-GB"/>
        </w:rPr>
        <w:t>10,649) of them invested in the business/income generating activities by their own, where the businesses are decided by them, loan approval by their leaders and at business level. Owners are women, and they decided their investment, business growth and use of income.</w:t>
      </w:r>
    </w:p>
    <w:p w:rsidR="00D83742" w:rsidRPr="006F533B" w:rsidRDefault="00D83742" w:rsidP="006F533B">
      <w:pPr>
        <w:pStyle w:val="ListParagraph"/>
        <w:spacing w:before="120" w:after="120"/>
        <w:contextualSpacing w:val="0"/>
        <w:jc w:val="both"/>
        <w:rPr>
          <w:szCs w:val="22"/>
          <w:u w:val="single"/>
          <w:lang w:val="en-GB"/>
        </w:rPr>
      </w:pPr>
      <w:r w:rsidRPr="006F533B">
        <w:rPr>
          <w:u w:val="single"/>
        </w:rPr>
        <w:t xml:space="preserve">Results in </w:t>
      </w:r>
      <w:r w:rsidRPr="006F533B">
        <w:rPr>
          <w:szCs w:val="22"/>
          <w:u w:val="single"/>
          <w:lang w:val="en-GB"/>
        </w:rPr>
        <w:t>strengthening good governance at communit</w:t>
      </w:r>
      <w:bookmarkEnd w:id="3"/>
      <w:bookmarkEnd w:id="4"/>
      <w:r w:rsidRPr="006F533B">
        <w:rPr>
          <w:szCs w:val="22"/>
          <w:u w:val="single"/>
          <w:lang w:val="en-GB"/>
        </w:rPr>
        <w:t>y level organizations</w:t>
      </w:r>
      <w:bookmarkEnd w:id="5"/>
    </w:p>
    <w:p w:rsidR="002F35B8" w:rsidRDefault="002F35B8" w:rsidP="002F35B8">
      <w:pPr>
        <w:pStyle w:val="ListParagraph"/>
        <w:spacing w:before="120" w:after="120"/>
        <w:contextualSpacing w:val="0"/>
        <w:jc w:val="both"/>
        <w:rPr>
          <w:szCs w:val="22"/>
          <w:lang w:val="en-GB"/>
        </w:rPr>
      </w:pPr>
      <w:r w:rsidRPr="00F46903">
        <w:rPr>
          <w:szCs w:val="22"/>
          <w:lang w:val="en-GB"/>
        </w:rPr>
        <w:t xml:space="preserve">The mandatory regular meeting of the credit groups at the community level is required by the </w:t>
      </w:r>
      <w:r>
        <w:rPr>
          <w:szCs w:val="22"/>
          <w:lang w:val="en-GB"/>
        </w:rPr>
        <w:t>PACT</w:t>
      </w:r>
      <w:r w:rsidRPr="00F46903">
        <w:rPr>
          <w:szCs w:val="22"/>
          <w:lang w:val="en-GB"/>
        </w:rPr>
        <w:t xml:space="preserve"> methodology, the activities and decisions are made in these regular meeting by the group leaders and centre chairpersons indicate towards the practice of decision making at the local level governance of their own groups and manage a group structure, ensure transparency of governance and help to establish discipline of governance at group/community level. During the reporting period,</w:t>
      </w:r>
      <w:r w:rsidRPr="00E73678">
        <w:rPr>
          <w:color w:val="FF0000"/>
          <w:szCs w:val="22"/>
          <w:lang w:val="en-GB"/>
        </w:rPr>
        <w:t xml:space="preserve"> </w:t>
      </w:r>
      <w:r w:rsidRPr="00F46903">
        <w:rPr>
          <w:szCs w:val="22"/>
          <w:lang w:val="en-GB"/>
        </w:rPr>
        <w:t xml:space="preserve">2,038 women group leaders and 364 centre chief decided to approve 29,797 loans </w:t>
      </w:r>
      <w:r>
        <w:rPr>
          <w:szCs w:val="22"/>
          <w:lang w:val="en-GB"/>
        </w:rPr>
        <w:t xml:space="preserve">and </w:t>
      </w:r>
      <w:r w:rsidRPr="00F46903">
        <w:rPr>
          <w:szCs w:val="22"/>
          <w:lang w:val="en-GB"/>
        </w:rPr>
        <w:t xml:space="preserve"> </w:t>
      </w:r>
      <w:r>
        <w:rPr>
          <w:szCs w:val="22"/>
          <w:lang w:val="en-GB"/>
        </w:rPr>
        <w:t xml:space="preserve">6,630.20 Million Kyat amounting to </w:t>
      </w:r>
      <w:r w:rsidRPr="008E1838">
        <w:rPr>
          <w:szCs w:val="22"/>
          <w:lang w:val="en-GB"/>
        </w:rPr>
        <w:t>7.10 Million</w:t>
      </w:r>
      <w:r>
        <w:rPr>
          <w:szCs w:val="22"/>
          <w:lang w:val="en-GB"/>
        </w:rPr>
        <w:t xml:space="preserve"> </w:t>
      </w:r>
      <w:r w:rsidRPr="00F46903">
        <w:rPr>
          <w:szCs w:val="22"/>
          <w:lang w:val="en-GB"/>
        </w:rPr>
        <w:t>US$</w:t>
      </w:r>
      <w:r w:rsidRPr="008E1838">
        <w:rPr>
          <w:szCs w:val="22"/>
          <w:lang w:val="en-GB"/>
        </w:rPr>
        <w:t xml:space="preserve"> submitted by borrowers after meetings and discussion of business opportunities and priorities. Their involvement in these processes of decision making helps them to be more confident and exposed to decision making process.</w:t>
      </w:r>
    </w:p>
    <w:p w:rsidR="00520A0E" w:rsidRDefault="00520A0E">
      <w:pPr>
        <w:rPr>
          <w:b/>
          <w:color w:val="00B0F0"/>
          <w:szCs w:val="22"/>
        </w:rPr>
      </w:pPr>
      <w:r>
        <w:rPr>
          <w:b/>
          <w:color w:val="00B0F0"/>
          <w:szCs w:val="22"/>
        </w:rPr>
        <w:br w:type="page"/>
      </w:r>
    </w:p>
    <w:p w:rsidR="00E00CFF" w:rsidRPr="00935163" w:rsidRDefault="00E00CFF" w:rsidP="00695A7F">
      <w:pPr>
        <w:pBdr>
          <w:bottom w:val="single" w:sz="4" w:space="1" w:color="auto"/>
        </w:pBdr>
        <w:spacing w:after="0" w:line="240" w:lineRule="auto"/>
        <w:rPr>
          <w:b/>
        </w:rPr>
      </w:pPr>
      <w:r w:rsidRPr="009B587D">
        <w:rPr>
          <w:b/>
          <w:szCs w:val="22"/>
        </w:rPr>
        <w:lastRenderedPageBreak/>
        <w:t xml:space="preserve">3. </w:t>
      </w:r>
      <w:r w:rsidRPr="00935163">
        <w:rPr>
          <w:b/>
          <w:szCs w:val="22"/>
        </w:rPr>
        <w:t>ACTIVITIES AND RESULTS</w:t>
      </w:r>
    </w:p>
    <w:p w:rsidR="00E00CFF" w:rsidRPr="00935163" w:rsidRDefault="00E00CFF" w:rsidP="003D28D6">
      <w:pPr>
        <w:spacing w:before="120" w:after="0" w:line="240" w:lineRule="auto"/>
        <w:rPr>
          <w:b/>
        </w:rPr>
      </w:pPr>
      <w:r w:rsidRPr="00E5777F">
        <w:rPr>
          <w:b/>
          <w:szCs w:val="22"/>
          <w:u w:val="single"/>
        </w:rPr>
        <w:t>OUTPUT 1:</w:t>
      </w:r>
    </w:p>
    <w:p w:rsidR="00E00CFF" w:rsidRPr="00935163" w:rsidRDefault="00D93960" w:rsidP="001600B4">
      <w:pPr>
        <w:spacing w:after="120" w:line="240" w:lineRule="auto"/>
        <w:jc w:val="both"/>
        <w:rPr>
          <w:b/>
        </w:rPr>
      </w:pPr>
      <w:r w:rsidRPr="00935163">
        <w:rPr>
          <w:b/>
        </w:rPr>
        <w:t>Improved banking outreach capacity up to</w:t>
      </w:r>
      <w:r w:rsidR="00347467" w:rsidRPr="00935163">
        <w:rPr>
          <w:b/>
        </w:rPr>
        <w:t xml:space="preserve"> 20</w:t>
      </w:r>
      <w:r w:rsidR="001600B4" w:rsidRPr="00935163">
        <w:rPr>
          <w:b/>
        </w:rPr>
        <w:t xml:space="preserve"> branches - </w:t>
      </w:r>
      <w:r w:rsidR="00347467" w:rsidRPr="00935163">
        <w:rPr>
          <w:b/>
        </w:rPr>
        <w:t xml:space="preserve">13 </w:t>
      </w:r>
      <w:r w:rsidR="001600B4" w:rsidRPr="00935163">
        <w:rPr>
          <w:b/>
        </w:rPr>
        <w:t xml:space="preserve">branches </w:t>
      </w:r>
      <w:r w:rsidR="00347467" w:rsidRPr="00935163">
        <w:rPr>
          <w:b/>
        </w:rPr>
        <w:t xml:space="preserve">in Bogalay and Mawlamyinegyun area and 7 </w:t>
      </w:r>
      <w:r w:rsidR="001600B4" w:rsidRPr="00935163">
        <w:rPr>
          <w:b/>
        </w:rPr>
        <w:t xml:space="preserve">branches </w:t>
      </w:r>
      <w:r w:rsidR="00347467" w:rsidRPr="00935163">
        <w:rPr>
          <w:b/>
        </w:rPr>
        <w:t>in Laputta area</w:t>
      </w:r>
      <w:r w:rsidR="001600B4" w:rsidRPr="00935163">
        <w:rPr>
          <w:b/>
        </w:rPr>
        <w:t xml:space="preserve">, </w:t>
      </w:r>
      <w:r w:rsidRPr="00935163">
        <w:rPr>
          <w:b/>
        </w:rPr>
        <w:t xml:space="preserve">to </w:t>
      </w:r>
      <w:r w:rsidR="00347467" w:rsidRPr="00935163">
        <w:rPr>
          <w:b/>
        </w:rPr>
        <w:t xml:space="preserve">reach microfinance services to </w:t>
      </w:r>
      <w:r w:rsidR="00090D65" w:rsidRPr="00935163">
        <w:rPr>
          <w:b/>
        </w:rPr>
        <w:t>underserved</w:t>
      </w:r>
      <w:r w:rsidRPr="00935163">
        <w:rPr>
          <w:b/>
        </w:rPr>
        <w:t>/un</w:t>
      </w:r>
      <w:r w:rsidR="00090D65" w:rsidRPr="00935163">
        <w:rPr>
          <w:b/>
        </w:rPr>
        <w:t>served</w:t>
      </w:r>
      <w:r w:rsidR="00347467" w:rsidRPr="00935163">
        <w:rPr>
          <w:b/>
        </w:rPr>
        <w:t>clients in the project area.</w:t>
      </w:r>
    </w:p>
    <w:p w:rsidR="0058242F" w:rsidRPr="00935163" w:rsidRDefault="0058242F" w:rsidP="0058242F">
      <w:pPr>
        <w:spacing w:after="120" w:line="240" w:lineRule="auto"/>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2099"/>
        <w:gridCol w:w="3121"/>
      </w:tblGrid>
      <w:tr w:rsidR="00935163" w:rsidRPr="005C3F4A" w:rsidTr="00263AA2">
        <w:trPr>
          <w:trHeight w:val="1466"/>
          <w:jc w:val="center"/>
        </w:trPr>
        <w:tc>
          <w:tcPr>
            <w:tcW w:w="3618" w:type="dxa"/>
            <w:tcBorders>
              <w:top w:val="single" w:sz="4" w:space="0" w:color="000000"/>
              <w:left w:val="single" w:sz="4" w:space="0" w:color="000000"/>
              <w:bottom w:val="single" w:sz="4" w:space="0" w:color="000000"/>
              <w:right w:val="single" w:sz="4" w:space="0" w:color="000000"/>
            </w:tcBorders>
          </w:tcPr>
          <w:p w:rsidR="00C735B5" w:rsidRPr="005C3F4A" w:rsidRDefault="00220897" w:rsidP="002C7ECE">
            <w:pPr>
              <w:snapToGrid w:val="0"/>
              <w:spacing w:before="60"/>
              <w:rPr>
                <w:bCs/>
                <w:sz w:val="20"/>
                <w:szCs w:val="20"/>
              </w:rPr>
            </w:pPr>
            <w:r w:rsidRPr="005C3F4A">
              <w:rPr>
                <w:bCs/>
                <w:sz w:val="20"/>
                <w:szCs w:val="20"/>
              </w:rPr>
              <w:t xml:space="preserve">INDICATOR 1:  </w:t>
            </w:r>
          </w:p>
          <w:p w:rsidR="00220897" w:rsidRPr="005C3F4A" w:rsidRDefault="00220897" w:rsidP="002C7ECE">
            <w:pPr>
              <w:snapToGrid w:val="0"/>
              <w:spacing w:before="60"/>
              <w:rPr>
                <w:bCs/>
                <w:sz w:val="20"/>
                <w:szCs w:val="20"/>
              </w:rPr>
            </w:pPr>
            <w:r w:rsidRPr="005C3F4A">
              <w:rPr>
                <w:bCs/>
                <w:sz w:val="20"/>
                <w:szCs w:val="20"/>
              </w:rPr>
              <w:t>Number of microfinance branches equipped with full staffing capacity and operating microfinance services</w:t>
            </w:r>
          </w:p>
        </w:tc>
        <w:tc>
          <w:tcPr>
            <w:tcW w:w="2099" w:type="dxa"/>
            <w:tcBorders>
              <w:top w:val="single" w:sz="4" w:space="0" w:color="000000"/>
              <w:left w:val="single" w:sz="4" w:space="0" w:color="000000"/>
              <w:bottom w:val="single" w:sz="4" w:space="0" w:color="000000"/>
              <w:right w:val="single" w:sz="4" w:space="0" w:color="auto"/>
            </w:tcBorders>
          </w:tcPr>
          <w:p w:rsidR="00220897" w:rsidRPr="005C3F4A" w:rsidRDefault="00C735B5" w:rsidP="006F533B">
            <w:pPr>
              <w:snapToGrid w:val="0"/>
              <w:spacing w:after="0" w:line="240" w:lineRule="auto"/>
              <w:jc w:val="center"/>
              <w:rPr>
                <w:bCs/>
                <w:sz w:val="20"/>
                <w:szCs w:val="20"/>
              </w:rPr>
            </w:pPr>
            <w:r w:rsidRPr="005C3F4A">
              <w:rPr>
                <w:bCs/>
                <w:sz w:val="20"/>
                <w:szCs w:val="20"/>
              </w:rPr>
              <w:t xml:space="preserve">MILESTONE/TARGET </w:t>
            </w:r>
            <w:r w:rsidR="00872578" w:rsidRPr="005C3F4A">
              <w:rPr>
                <w:bCs/>
                <w:sz w:val="20"/>
                <w:szCs w:val="20"/>
              </w:rPr>
              <w:t xml:space="preserve"> 2013</w:t>
            </w:r>
            <w:r w:rsidR="00220897" w:rsidRPr="005C3F4A">
              <w:rPr>
                <w:bCs/>
                <w:sz w:val="20"/>
                <w:szCs w:val="20"/>
              </w:rPr>
              <w:t>:</w:t>
            </w:r>
          </w:p>
          <w:p w:rsidR="00C82138" w:rsidRPr="005C3F4A" w:rsidRDefault="00C82138" w:rsidP="006F533B">
            <w:pPr>
              <w:snapToGrid w:val="0"/>
              <w:spacing w:after="0" w:line="240" w:lineRule="auto"/>
              <w:jc w:val="center"/>
              <w:rPr>
                <w:bCs/>
                <w:sz w:val="20"/>
                <w:szCs w:val="20"/>
              </w:rPr>
            </w:pPr>
          </w:p>
          <w:p w:rsidR="00220897" w:rsidRPr="005C3F4A" w:rsidRDefault="00220897" w:rsidP="005C3F4A">
            <w:pPr>
              <w:snapToGrid w:val="0"/>
              <w:spacing w:after="0" w:line="240" w:lineRule="auto"/>
              <w:rPr>
                <w:bCs/>
                <w:sz w:val="20"/>
                <w:szCs w:val="20"/>
              </w:rPr>
            </w:pPr>
            <w:r w:rsidRPr="005C3F4A">
              <w:rPr>
                <w:bCs/>
                <w:sz w:val="20"/>
                <w:szCs w:val="20"/>
              </w:rPr>
              <w:t>20</w:t>
            </w:r>
            <w:r w:rsidR="006968C1" w:rsidRPr="005C3F4A">
              <w:rPr>
                <w:bCs/>
                <w:sz w:val="20"/>
                <w:szCs w:val="20"/>
              </w:rPr>
              <w:t xml:space="preserve"> Branches</w:t>
            </w:r>
          </w:p>
        </w:tc>
        <w:tc>
          <w:tcPr>
            <w:tcW w:w="3121" w:type="dxa"/>
            <w:tcBorders>
              <w:top w:val="single" w:sz="4" w:space="0" w:color="000000"/>
              <w:left w:val="single" w:sz="4" w:space="0" w:color="auto"/>
              <w:bottom w:val="single" w:sz="4" w:space="0" w:color="000000"/>
              <w:right w:val="single" w:sz="4" w:space="0" w:color="000000"/>
            </w:tcBorders>
          </w:tcPr>
          <w:p w:rsidR="00220897" w:rsidRPr="005C3F4A" w:rsidRDefault="00C735B5" w:rsidP="006F533B">
            <w:pPr>
              <w:snapToGrid w:val="0"/>
              <w:spacing w:after="0" w:line="240" w:lineRule="auto"/>
              <w:jc w:val="center"/>
              <w:rPr>
                <w:bCs/>
                <w:sz w:val="20"/>
                <w:szCs w:val="20"/>
              </w:rPr>
            </w:pPr>
            <w:r w:rsidRPr="005C3F4A">
              <w:rPr>
                <w:bCs/>
                <w:sz w:val="20"/>
                <w:szCs w:val="20"/>
              </w:rPr>
              <w:t xml:space="preserve">ACCOMPLISHMENT </w:t>
            </w:r>
            <w:r w:rsidR="00220897" w:rsidRPr="005C3F4A">
              <w:rPr>
                <w:bCs/>
                <w:sz w:val="20"/>
                <w:szCs w:val="20"/>
              </w:rPr>
              <w:t xml:space="preserve">at </w:t>
            </w:r>
            <w:r w:rsidR="00E81E44" w:rsidRPr="005C3F4A">
              <w:rPr>
                <w:bCs/>
                <w:sz w:val="20"/>
                <w:szCs w:val="20"/>
              </w:rPr>
              <w:t xml:space="preserve">the </w:t>
            </w:r>
            <w:r w:rsidR="00220897" w:rsidRPr="005C3F4A">
              <w:rPr>
                <w:bCs/>
                <w:sz w:val="20"/>
                <w:szCs w:val="20"/>
              </w:rPr>
              <w:t xml:space="preserve">end </w:t>
            </w:r>
            <w:r w:rsidR="002549E5" w:rsidRPr="005C3F4A">
              <w:rPr>
                <w:bCs/>
                <w:sz w:val="20"/>
                <w:szCs w:val="20"/>
              </w:rPr>
              <w:t xml:space="preserve">of </w:t>
            </w:r>
            <w:r w:rsidR="006F533B" w:rsidRPr="005C3F4A">
              <w:rPr>
                <w:bCs/>
                <w:sz w:val="20"/>
                <w:szCs w:val="20"/>
              </w:rPr>
              <w:t xml:space="preserve">June </w:t>
            </w:r>
            <w:r w:rsidR="00872578" w:rsidRPr="005C3F4A">
              <w:rPr>
                <w:bCs/>
                <w:sz w:val="20"/>
                <w:szCs w:val="20"/>
              </w:rPr>
              <w:t>2013</w:t>
            </w:r>
            <w:r w:rsidR="002549E5" w:rsidRPr="005C3F4A">
              <w:rPr>
                <w:bCs/>
                <w:sz w:val="20"/>
                <w:szCs w:val="20"/>
              </w:rPr>
              <w:t>.</w:t>
            </w:r>
          </w:p>
          <w:p w:rsidR="00C735B5" w:rsidRPr="005C3F4A" w:rsidRDefault="00C735B5" w:rsidP="006F533B">
            <w:pPr>
              <w:snapToGrid w:val="0"/>
              <w:spacing w:after="0" w:line="240" w:lineRule="auto"/>
              <w:jc w:val="center"/>
              <w:rPr>
                <w:bCs/>
                <w:sz w:val="20"/>
                <w:szCs w:val="20"/>
              </w:rPr>
            </w:pPr>
          </w:p>
          <w:p w:rsidR="0088599B" w:rsidRPr="005C3F4A" w:rsidRDefault="00C735B5" w:rsidP="005C3F4A">
            <w:pPr>
              <w:snapToGrid w:val="0"/>
              <w:spacing w:after="0" w:line="240" w:lineRule="auto"/>
              <w:rPr>
                <w:bCs/>
                <w:strike/>
                <w:sz w:val="20"/>
                <w:szCs w:val="20"/>
              </w:rPr>
            </w:pPr>
            <w:r w:rsidRPr="005C3F4A">
              <w:rPr>
                <w:bCs/>
                <w:sz w:val="20"/>
                <w:szCs w:val="20"/>
              </w:rPr>
              <w:t xml:space="preserve">21 </w:t>
            </w:r>
            <w:r w:rsidR="006968C1" w:rsidRPr="005C3F4A">
              <w:rPr>
                <w:bCs/>
                <w:sz w:val="20"/>
                <w:szCs w:val="20"/>
              </w:rPr>
              <w:t xml:space="preserve">Branches </w:t>
            </w:r>
            <w:r w:rsidRPr="005C3F4A">
              <w:rPr>
                <w:bCs/>
                <w:sz w:val="20"/>
                <w:szCs w:val="20"/>
              </w:rPr>
              <w:t>(105%)</w:t>
            </w:r>
          </w:p>
        </w:tc>
      </w:tr>
      <w:tr w:rsidR="00935163" w:rsidRPr="005C3F4A" w:rsidTr="00B6683A">
        <w:trPr>
          <w:jc w:val="center"/>
        </w:trPr>
        <w:tc>
          <w:tcPr>
            <w:tcW w:w="3618" w:type="dxa"/>
            <w:tcBorders>
              <w:top w:val="single" w:sz="4" w:space="0" w:color="000000"/>
              <w:left w:val="single" w:sz="4" w:space="0" w:color="000000"/>
              <w:bottom w:val="single" w:sz="4" w:space="0" w:color="000000"/>
              <w:right w:val="single" w:sz="4" w:space="0" w:color="000000"/>
            </w:tcBorders>
          </w:tcPr>
          <w:p w:rsidR="00BB3C78" w:rsidRPr="005C3F4A" w:rsidRDefault="00BB3C78" w:rsidP="00263AA2">
            <w:pPr>
              <w:snapToGrid w:val="0"/>
              <w:spacing w:before="60"/>
              <w:rPr>
                <w:bCs/>
                <w:sz w:val="20"/>
                <w:szCs w:val="20"/>
              </w:rPr>
            </w:pPr>
            <w:r w:rsidRPr="005C3F4A">
              <w:rPr>
                <w:bCs/>
                <w:sz w:val="20"/>
                <w:szCs w:val="20"/>
              </w:rPr>
              <w:t>INDICATOR 2: Number of microfinance clients received loans from the project</w:t>
            </w:r>
          </w:p>
        </w:tc>
        <w:tc>
          <w:tcPr>
            <w:tcW w:w="2099" w:type="dxa"/>
            <w:tcBorders>
              <w:top w:val="single" w:sz="4" w:space="0" w:color="000000"/>
              <w:left w:val="single" w:sz="4" w:space="0" w:color="000000"/>
              <w:bottom w:val="single" w:sz="4" w:space="0" w:color="000000"/>
              <w:right w:val="single" w:sz="4" w:space="0" w:color="auto"/>
            </w:tcBorders>
          </w:tcPr>
          <w:p w:rsidR="005C3F4A" w:rsidRPr="005C3F4A" w:rsidRDefault="005C3F4A" w:rsidP="006F533B">
            <w:pPr>
              <w:snapToGrid w:val="0"/>
              <w:spacing w:before="60"/>
              <w:jc w:val="center"/>
              <w:rPr>
                <w:bCs/>
                <w:sz w:val="20"/>
                <w:szCs w:val="20"/>
              </w:rPr>
            </w:pPr>
          </w:p>
          <w:p w:rsidR="00BB3C78" w:rsidRPr="005C3F4A" w:rsidRDefault="00A44E12" w:rsidP="005C3F4A">
            <w:pPr>
              <w:snapToGrid w:val="0"/>
              <w:spacing w:before="60"/>
              <w:rPr>
                <w:bCs/>
                <w:sz w:val="20"/>
                <w:szCs w:val="20"/>
              </w:rPr>
            </w:pPr>
            <w:r w:rsidRPr="005C3F4A">
              <w:rPr>
                <w:bCs/>
                <w:sz w:val="20"/>
                <w:szCs w:val="20"/>
              </w:rPr>
              <w:t>13,044</w:t>
            </w:r>
            <w:r w:rsidR="00BB3C78" w:rsidRPr="005C3F4A">
              <w:rPr>
                <w:bCs/>
                <w:sz w:val="20"/>
                <w:szCs w:val="20"/>
              </w:rPr>
              <w:t xml:space="preserve"> Clients</w:t>
            </w:r>
          </w:p>
        </w:tc>
        <w:tc>
          <w:tcPr>
            <w:tcW w:w="3121" w:type="dxa"/>
            <w:tcBorders>
              <w:top w:val="single" w:sz="4" w:space="0" w:color="000000"/>
              <w:left w:val="single" w:sz="4" w:space="0" w:color="auto"/>
              <w:bottom w:val="single" w:sz="4" w:space="0" w:color="000000"/>
              <w:right w:val="single" w:sz="4" w:space="0" w:color="000000"/>
            </w:tcBorders>
          </w:tcPr>
          <w:p w:rsidR="005C3F4A" w:rsidRPr="005C3F4A" w:rsidRDefault="005C3F4A" w:rsidP="00A44E12">
            <w:pPr>
              <w:snapToGrid w:val="0"/>
              <w:spacing w:after="0"/>
              <w:jc w:val="center"/>
              <w:rPr>
                <w:bCs/>
                <w:sz w:val="20"/>
                <w:szCs w:val="20"/>
              </w:rPr>
            </w:pPr>
          </w:p>
          <w:p w:rsidR="005C3F4A" w:rsidRPr="005C3F4A" w:rsidRDefault="005C3F4A" w:rsidP="005C3F4A">
            <w:pPr>
              <w:snapToGrid w:val="0"/>
              <w:spacing w:after="0"/>
              <w:rPr>
                <w:bCs/>
                <w:sz w:val="20"/>
                <w:szCs w:val="20"/>
              </w:rPr>
            </w:pPr>
          </w:p>
          <w:p w:rsidR="00BB3C78" w:rsidRPr="005C3F4A" w:rsidRDefault="00D92AAF" w:rsidP="00D92AAF">
            <w:pPr>
              <w:snapToGrid w:val="0"/>
              <w:spacing w:after="0"/>
              <w:rPr>
                <w:bCs/>
                <w:sz w:val="20"/>
                <w:szCs w:val="20"/>
              </w:rPr>
            </w:pPr>
            <w:r>
              <w:rPr>
                <w:bCs/>
                <w:sz w:val="20"/>
                <w:szCs w:val="20"/>
              </w:rPr>
              <w:t>13,378</w:t>
            </w:r>
            <w:r w:rsidR="00A44E12" w:rsidRPr="005C3F4A">
              <w:rPr>
                <w:bCs/>
                <w:sz w:val="20"/>
                <w:szCs w:val="20"/>
              </w:rPr>
              <w:t xml:space="preserve"> clients </w:t>
            </w:r>
            <w:r>
              <w:rPr>
                <w:bCs/>
                <w:sz w:val="20"/>
                <w:szCs w:val="20"/>
              </w:rPr>
              <w:t>(103</w:t>
            </w:r>
            <w:r w:rsidR="005C3F4A">
              <w:rPr>
                <w:bCs/>
                <w:sz w:val="20"/>
                <w:szCs w:val="20"/>
              </w:rPr>
              <w:t>%)</w:t>
            </w:r>
          </w:p>
        </w:tc>
      </w:tr>
    </w:tbl>
    <w:p w:rsidR="003F6732" w:rsidRDefault="003F6732" w:rsidP="00263AA2">
      <w:pPr>
        <w:pBdr>
          <w:bottom w:val="single" w:sz="4" w:space="1" w:color="auto"/>
        </w:pBdr>
        <w:spacing w:before="120" w:after="120" w:line="240" w:lineRule="auto"/>
        <w:jc w:val="both"/>
        <w:rPr>
          <w:b/>
          <w:szCs w:val="22"/>
        </w:rPr>
      </w:pPr>
    </w:p>
    <w:p w:rsidR="00263AA2" w:rsidRPr="00935163" w:rsidRDefault="00263AA2" w:rsidP="00263AA2">
      <w:pPr>
        <w:pBdr>
          <w:bottom w:val="single" w:sz="4" w:space="1" w:color="auto"/>
        </w:pBdr>
        <w:spacing w:before="120" w:after="120" w:line="240" w:lineRule="auto"/>
        <w:jc w:val="both"/>
        <w:rPr>
          <w:b/>
          <w:szCs w:val="22"/>
        </w:rPr>
      </w:pPr>
      <w:r w:rsidRPr="00E5777F">
        <w:rPr>
          <w:b/>
          <w:szCs w:val="22"/>
        </w:rPr>
        <w:t>Lesson learned/Comments on any intended or unintended results</w:t>
      </w:r>
    </w:p>
    <w:p w:rsidR="00614D04" w:rsidRPr="00935163" w:rsidRDefault="00614D04" w:rsidP="00614D04">
      <w:pPr>
        <w:spacing w:after="0" w:line="240" w:lineRule="auto"/>
        <w:jc w:val="both"/>
        <w:rPr>
          <w:szCs w:val="22"/>
        </w:rPr>
      </w:pPr>
      <w:r w:rsidRPr="00935163">
        <w:rPr>
          <w:szCs w:val="22"/>
        </w:rPr>
        <w:t>Pact MF undertook microfinance activities with concerted effort in or</w:t>
      </w:r>
      <w:r w:rsidR="00935163" w:rsidRPr="00935163">
        <w:rPr>
          <w:szCs w:val="22"/>
        </w:rPr>
        <w:t>der to fulfill the plan target, p</w:t>
      </w:r>
      <w:r w:rsidRPr="00935163">
        <w:rPr>
          <w:szCs w:val="22"/>
        </w:rPr>
        <w:t>rovided that the following challenges had been overcom</w:t>
      </w:r>
      <w:r w:rsidR="00935163" w:rsidRPr="00935163">
        <w:rPr>
          <w:szCs w:val="22"/>
        </w:rPr>
        <w:t xml:space="preserve">e, achievement could </w:t>
      </w:r>
      <w:r w:rsidR="009A5B6C" w:rsidRPr="00935163">
        <w:rPr>
          <w:szCs w:val="22"/>
        </w:rPr>
        <w:t>have surpassed</w:t>
      </w:r>
      <w:r w:rsidRPr="00935163">
        <w:rPr>
          <w:szCs w:val="22"/>
        </w:rPr>
        <w:t xml:space="preserve"> the target.</w:t>
      </w:r>
    </w:p>
    <w:p w:rsidR="00614D04" w:rsidRPr="00935163" w:rsidRDefault="00614D04" w:rsidP="00614D04">
      <w:pPr>
        <w:pStyle w:val="ListParagraph"/>
        <w:numPr>
          <w:ilvl w:val="0"/>
          <w:numId w:val="7"/>
        </w:numPr>
        <w:spacing w:before="120" w:after="120" w:line="240" w:lineRule="auto"/>
        <w:jc w:val="both"/>
        <w:rPr>
          <w:rFonts w:asciiTheme="minorHAnsi" w:hAnsiTheme="minorHAnsi" w:cstheme="minorHAnsi"/>
        </w:rPr>
      </w:pPr>
      <w:r w:rsidRPr="00935163">
        <w:rPr>
          <w:rFonts w:asciiTheme="minorHAnsi" w:hAnsiTheme="minorHAnsi" w:cstheme="minorHAnsi"/>
        </w:rPr>
        <w:t xml:space="preserve">Although per acre loan size is suitable, borrowers would want to get </w:t>
      </w:r>
      <w:r w:rsidR="00AD72C0" w:rsidRPr="00935163">
        <w:rPr>
          <w:rFonts w:asciiTheme="minorHAnsi" w:hAnsiTheme="minorHAnsi" w:cstheme="minorHAnsi"/>
        </w:rPr>
        <w:t>loan</w:t>
      </w:r>
      <w:r w:rsidRPr="00935163">
        <w:rPr>
          <w:rFonts w:asciiTheme="minorHAnsi" w:hAnsiTheme="minorHAnsi" w:cstheme="minorHAnsi"/>
        </w:rPr>
        <w:t xml:space="preserve"> for all the land they owned or </w:t>
      </w:r>
      <w:r w:rsidR="004307D2">
        <w:rPr>
          <w:rFonts w:asciiTheme="minorHAnsi" w:hAnsiTheme="minorHAnsi" w:cstheme="minorHAnsi"/>
        </w:rPr>
        <w:t>leased</w:t>
      </w:r>
      <w:r w:rsidRPr="00935163">
        <w:rPr>
          <w:rFonts w:asciiTheme="minorHAnsi" w:hAnsiTheme="minorHAnsi" w:cstheme="minorHAnsi"/>
        </w:rPr>
        <w:t>. They preferred hire purchase and inventory credit.</w:t>
      </w:r>
    </w:p>
    <w:p w:rsidR="00614D04" w:rsidRPr="00935163" w:rsidRDefault="00614D04" w:rsidP="00614D04">
      <w:pPr>
        <w:pStyle w:val="ListParagraph"/>
        <w:numPr>
          <w:ilvl w:val="0"/>
          <w:numId w:val="7"/>
        </w:numPr>
        <w:spacing w:before="120" w:after="120" w:line="240" w:lineRule="auto"/>
        <w:jc w:val="both"/>
        <w:rPr>
          <w:rFonts w:asciiTheme="minorHAnsi" w:hAnsiTheme="minorHAnsi" w:cstheme="minorHAnsi"/>
        </w:rPr>
      </w:pPr>
      <w:r w:rsidRPr="00935163">
        <w:rPr>
          <w:rFonts w:asciiTheme="minorHAnsi" w:hAnsiTheme="minorHAnsi" w:cstheme="minorHAnsi"/>
        </w:rPr>
        <w:t>Some of the borrower did not take loan as they were not willing to attend meeting fortnightly. If incident of meeting were reduced, number of member will increase.</w:t>
      </w:r>
    </w:p>
    <w:p w:rsidR="00520A0E" w:rsidRDefault="00520A0E" w:rsidP="006D58A0">
      <w:pPr>
        <w:pBdr>
          <w:bottom w:val="single" w:sz="4" w:space="1" w:color="auto"/>
        </w:pBdr>
        <w:snapToGrid w:val="0"/>
        <w:spacing w:before="120" w:after="120" w:line="240" w:lineRule="auto"/>
        <w:jc w:val="both"/>
        <w:rPr>
          <w:b/>
          <w:szCs w:val="22"/>
        </w:rPr>
      </w:pPr>
    </w:p>
    <w:p w:rsidR="00DA63FD" w:rsidRPr="009B587D" w:rsidRDefault="00E00CFF" w:rsidP="006D58A0">
      <w:pPr>
        <w:pBdr>
          <w:bottom w:val="single" w:sz="4" w:space="1" w:color="auto"/>
        </w:pBdr>
        <w:snapToGrid w:val="0"/>
        <w:spacing w:before="120" w:after="120" w:line="240" w:lineRule="auto"/>
        <w:jc w:val="both"/>
        <w:rPr>
          <w:b/>
          <w:szCs w:val="22"/>
        </w:rPr>
      </w:pPr>
      <w:r w:rsidRPr="00E5777F">
        <w:rPr>
          <w:b/>
          <w:szCs w:val="22"/>
        </w:rPr>
        <w:t>Activities completed during reporting period</w:t>
      </w:r>
    </w:p>
    <w:p w:rsidR="004307D2" w:rsidRDefault="004307D2" w:rsidP="006D58A0">
      <w:pPr>
        <w:spacing w:before="120" w:after="120" w:line="240" w:lineRule="auto"/>
        <w:jc w:val="both"/>
      </w:pPr>
      <w:r>
        <w:t xml:space="preserve">Last year </w:t>
      </w:r>
      <w:r w:rsidR="004F2B3C">
        <w:t>UNDP/PACT</w:t>
      </w:r>
      <w:r>
        <w:t xml:space="preserve"> established one new branch in Laputta Township fulfilling the request made by A</w:t>
      </w:r>
      <w:r w:rsidR="005F2722">
        <w:t>DRA</w:t>
      </w:r>
      <w:r>
        <w:t xml:space="preserve"> and reaching underserved farmers in the Pyinsalu sub township. A</w:t>
      </w:r>
      <w:r w:rsidR="005F2722">
        <w:t>DRA</w:t>
      </w:r>
      <w:r>
        <w:t xml:space="preserve"> requested to provide microfinance to the </w:t>
      </w:r>
      <w:r w:rsidR="00B33D2F">
        <w:t xml:space="preserve">inhabitants who needed capital to start livelihoods activities. </w:t>
      </w:r>
      <w:r>
        <w:t>The establishment of new branch in Pyinsalu assisted the microfinance program to have a</w:t>
      </w:r>
      <w:r w:rsidR="005F2722">
        <w:t xml:space="preserve"> growth in terms of new clients.</w:t>
      </w:r>
    </w:p>
    <w:p w:rsidR="00E00CFF" w:rsidRPr="009B587D" w:rsidRDefault="00F010AF" w:rsidP="006D58A0">
      <w:pPr>
        <w:spacing w:before="120" w:after="120" w:line="240" w:lineRule="auto"/>
        <w:jc w:val="both"/>
      </w:pPr>
      <w:r w:rsidRPr="009B587D">
        <w:t xml:space="preserve">During the reporting period </w:t>
      </w:r>
      <w:r w:rsidR="00500DFF" w:rsidRPr="009B587D">
        <w:t>a</w:t>
      </w:r>
      <w:r w:rsidR="00376E9F" w:rsidRPr="009B587D">
        <w:t xml:space="preserve">ll </w:t>
      </w:r>
      <w:r w:rsidR="00500DFF" w:rsidRPr="009B587D">
        <w:t>branches are</w:t>
      </w:r>
      <w:r w:rsidR="00376E9F" w:rsidRPr="009B587D">
        <w:t xml:space="preserve"> functional and providing a range of on-farm and off-farm loans to the marginal, landless and small land holding farming families.</w:t>
      </w:r>
    </w:p>
    <w:p w:rsidR="00DF66FA" w:rsidRPr="009B587D" w:rsidRDefault="00DF66FA" w:rsidP="006D58A0">
      <w:pPr>
        <w:spacing w:before="120" w:after="120" w:line="240" w:lineRule="auto"/>
        <w:jc w:val="both"/>
      </w:pPr>
      <w:r w:rsidRPr="009B587D">
        <w:t xml:space="preserve">Under </w:t>
      </w:r>
      <w:r w:rsidR="002549E5" w:rsidRPr="009B587D">
        <w:t>the</w:t>
      </w:r>
      <w:r w:rsidR="00500DFF" w:rsidRPr="009B587D">
        <w:t xml:space="preserve"> </w:t>
      </w:r>
      <w:r w:rsidRPr="009B587D">
        <w:t>LIFT II Delta program, target number of villages to intervene is 275 villages in Laputta and Bogalay/</w:t>
      </w:r>
      <w:r w:rsidR="002549E5" w:rsidRPr="009B587D">
        <w:t>Mawlamyinegyun</w:t>
      </w:r>
      <w:r w:rsidRPr="009B587D">
        <w:t xml:space="preserve">, </w:t>
      </w:r>
      <w:r w:rsidR="002549E5" w:rsidRPr="009B587D">
        <w:t xml:space="preserve">and </w:t>
      </w:r>
      <w:r w:rsidR="00B0243A" w:rsidRPr="009B587D">
        <w:t>the project</w:t>
      </w:r>
      <w:r w:rsidR="009B587D" w:rsidRPr="009B587D">
        <w:t xml:space="preserve"> </w:t>
      </w:r>
      <w:r w:rsidR="002549E5" w:rsidRPr="009B587D">
        <w:t xml:space="preserve">was able to </w:t>
      </w:r>
      <w:r w:rsidRPr="009B587D">
        <w:t>reach 2</w:t>
      </w:r>
      <w:r w:rsidR="00C208CC">
        <w:t>63</w:t>
      </w:r>
      <w:r w:rsidR="00500DFF" w:rsidRPr="009B587D">
        <w:t xml:space="preserve"> </w:t>
      </w:r>
      <w:r w:rsidR="002549E5" w:rsidRPr="009B587D">
        <w:t xml:space="preserve">of them – </w:t>
      </w:r>
      <w:r w:rsidR="00C208CC">
        <w:t>115 from Laputta area and 148</w:t>
      </w:r>
      <w:r w:rsidR="002549E5" w:rsidRPr="009B587D">
        <w:t xml:space="preserve"> from Bogalay/Mawlamyinegyun.</w:t>
      </w:r>
      <w:r w:rsidR="00B33D2F">
        <w:t xml:space="preserve"> </w:t>
      </w:r>
      <w:r w:rsidR="00654CF7" w:rsidRPr="009B587D">
        <w:t>5</w:t>
      </w:r>
      <w:r w:rsidR="00C208CC">
        <w:t>9</w:t>
      </w:r>
      <w:r w:rsidR="00B33D2F">
        <w:t xml:space="preserve"> </w:t>
      </w:r>
      <w:r w:rsidRPr="009B587D">
        <w:t>villages w</w:t>
      </w:r>
      <w:r w:rsidR="00654CF7" w:rsidRPr="009B587D">
        <w:t>er</w:t>
      </w:r>
      <w:r w:rsidR="00C208CC">
        <w:t>e non-MF IPs’ villages and 204</w:t>
      </w:r>
      <w:r w:rsidRPr="009B587D">
        <w:t xml:space="preserve"> were villages where MF and </w:t>
      </w:r>
      <w:r w:rsidR="00B0243A" w:rsidRPr="009B587D">
        <w:t xml:space="preserve">other </w:t>
      </w:r>
      <w:r w:rsidRPr="009B587D">
        <w:t>IP’s are working together.</w:t>
      </w:r>
    </w:p>
    <w:p w:rsidR="00614D04" w:rsidRPr="00B758F5" w:rsidRDefault="00614D04" w:rsidP="00614D04">
      <w:pPr>
        <w:spacing w:before="120" w:after="120" w:line="240" w:lineRule="auto"/>
        <w:jc w:val="both"/>
        <w:rPr>
          <w:szCs w:val="22"/>
        </w:rPr>
      </w:pPr>
      <w:r w:rsidRPr="009A1356">
        <w:rPr>
          <w:szCs w:val="22"/>
        </w:rPr>
        <w:t xml:space="preserve">Under LIFT II Delta program, the target was to provide microfinance services to </w:t>
      </w:r>
      <w:r w:rsidR="00666AA0" w:rsidRPr="009A1356">
        <w:rPr>
          <w:szCs w:val="22"/>
        </w:rPr>
        <w:t>13,044</w:t>
      </w:r>
      <w:r w:rsidR="00F867EE" w:rsidRPr="009A1356">
        <w:rPr>
          <w:szCs w:val="22"/>
        </w:rPr>
        <w:t xml:space="preserve"> </w:t>
      </w:r>
      <w:r w:rsidR="00FD72DF" w:rsidRPr="009A1356">
        <w:rPr>
          <w:szCs w:val="22"/>
        </w:rPr>
        <w:t>clients during</w:t>
      </w:r>
      <w:r w:rsidRPr="009A1356">
        <w:rPr>
          <w:szCs w:val="22"/>
        </w:rPr>
        <w:t xml:space="preserve"> 201</w:t>
      </w:r>
      <w:r w:rsidR="00500DFF" w:rsidRPr="009A1356">
        <w:rPr>
          <w:szCs w:val="22"/>
        </w:rPr>
        <w:t>3</w:t>
      </w:r>
      <w:r w:rsidRPr="009A1356">
        <w:rPr>
          <w:szCs w:val="22"/>
        </w:rPr>
        <w:t>,</w:t>
      </w:r>
      <w:r w:rsidRPr="00B758F5">
        <w:rPr>
          <w:szCs w:val="22"/>
        </w:rPr>
        <w:t xml:space="preserve"> of which </w:t>
      </w:r>
      <w:r w:rsidR="00F252CE">
        <w:rPr>
          <w:szCs w:val="22"/>
        </w:rPr>
        <w:t>13,378</w:t>
      </w:r>
      <w:r w:rsidRPr="00B758F5">
        <w:rPr>
          <w:szCs w:val="22"/>
        </w:rPr>
        <w:t xml:space="preserve"> clients received </w:t>
      </w:r>
      <w:r w:rsidR="00492DEF" w:rsidRPr="00B758F5">
        <w:rPr>
          <w:szCs w:val="22"/>
        </w:rPr>
        <w:t xml:space="preserve">loans at the end </w:t>
      </w:r>
      <w:r w:rsidR="00F252CE">
        <w:rPr>
          <w:szCs w:val="22"/>
        </w:rPr>
        <w:t>of Dec</w:t>
      </w:r>
      <w:r w:rsidR="00FD72DF">
        <w:rPr>
          <w:szCs w:val="22"/>
        </w:rPr>
        <w:t xml:space="preserve"> </w:t>
      </w:r>
      <w:r w:rsidR="00492DEF" w:rsidRPr="00B758F5">
        <w:rPr>
          <w:szCs w:val="22"/>
        </w:rPr>
        <w:t>2013</w:t>
      </w:r>
      <w:r w:rsidRPr="00B758F5">
        <w:rPr>
          <w:szCs w:val="22"/>
        </w:rPr>
        <w:t xml:space="preserve">. Therefore overall achievement reached </w:t>
      </w:r>
      <w:r w:rsidR="00F252CE">
        <w:rPr>
          <w:szCs w:val="22"/>
        </w:rPr>
        <w:t>103</w:t>
      </w:r>
      <w:r w:rsidR="00A44E12">
        <w:rPr>
          <w:szCs w:val="22"/>
        </w:rPr>
        <w:t>%</w:t>
      </w:r>
      <w:r w:rsidRPr="00B758F5">
        <w:rPr>
          <w:szCs w:val="22"/>
        </w:rPr>
        <w:t xml:space="preserve"> of </w:t>
      </w:r>
      <w:r w:rsidR="00FD72DF">
        <w:rPr>
          <w:szCs w:val="22"/>
        </w:rPr>
        <w:t xml:space="preserve">annual </w:t>
      </w:r>
      <w:r w:rsidRPr="00B758F5">
        <w:rPr>
          <w:szCs w:val="22"/>
        </w:rPr>
        <w:t xml:space="preserve">targeted households </w:t>
      </w:r>
      <w:r w:rsidR="00FD72DF">
        <w:rPr>
          <w:szCs w:val="22"/>
        </w:rPr>
        <w:t>during the reporting period</w:t>
      </w:r>
      <w:r w:rsidRPr="00B758F5">
        <w:rPr>
          <w:szCs w:val="22"/>
        </w:rPr>
        <w:t xml:space="preserve">. In value terms, loans amounted to </w:t>
      </w:r>
      <w:r w:rsidR="009A1356">
        <w:rPr>
          <w:szCs w:val="22"/>
        </w:rPr>
        <w:t xml:space="preserve">                    US$ 4,552,148</w:t>
      </w:r>
      <w:r w:rsidRPr="00B758F5">
        <w:rPr>
          <w:szCs w:val="22"/>
        </w:rPr>
        <w:t xml:space="preserve"> were disbursed </w:t>
      </w:r>
      <w:r w:rsidR="00280ED1">
        <w:rPr>
          <w:szCs w:val="22"/>
        </w:rPr>
        <w:t>which compos</w:t>
      </w:r>
      <w:r w:rsidR="009A1356">
        <w:rPr>
          <w:szCs w:val="22"/>
        </w:rPr>
        <w:t>ed new loans disbursement of US$</w:t>
      </w:r>
      <w:r w:rsidR="00280ED1">
        <w:rPr>
          <w:szCs w:val="22"/>
        </w:rPr>
        <w:t xml:space="preserve"> </w:t>
      </w:r>
      <w:r w:rsidR="00F252CE">
        <w:rPr>
          <w:szCs w:val="22"/>
        </w:rPr>
        <w:t>1,072,607</w:t>
      </w:r>
      <w:r w:rsidR="00280ED1">
        <w:rPr>
          <w:szCs w:val="22"/>
        </w:rPr>
        <w:t xml:space="preserve"> to </w:t>
      </w:r>
      <w:r w:rsidR="00F252CE">
        <w:rPr>
          <w:szCs w:val="22"/>
        </w:rPr>
        <w:t>5,135</w:t>
      </w:r>
      <w:r w:rsidR="00280ED1">
        <w:rPr>
          <w:szCs w:val="22"/>
        </w:rPr>
        <w:t xml:space="preserve"> new clients. Compare to </w:t>
      </w:r>
      <w:r w:rsidR="00FD72DF">
        <w:rPr>
          <w:szCs w:val="22"/>
        </w:rPr>
        <w:t xml:space="preserve">annual </w:t>
      </w:r>
      <w:r w:rsidRPr="00B758F5">
        <w:rPr>
          <w:szCs w:val="22"/>
        </w:rPr>
        <w:t xml:space="preserve">target setting of </w:t>
      </w:r>
      <w:r w:rsidR="009A1356">
        <w:rPr>
          <w:szCs w:val="22"/>
        </w:rPr>
        <w:t>US$</w:t>
      </w:r>
      <w:r w:rsidR="00280ED1">
        <w:rPr>
          <w:szCs w:val="22"/>
        </w:rPr>
        <w:t xml:space="preserve"> </w:t>
      </w:r>
      <w:r w:rsidR="009D40B5">
        <w:rPr>
          <w:szCs w:val="22"/>
        </w:rPr>
        <w:t>852,016</w:t>
      </w:r>
      <w:r w:rsidR="00280ED1">
        <w:rPr>
          <w:szCs w:val="22"/>
        </w:rPr>
        <w:t>,</w:t>
      </w:r>
      <w:r w:rsidR="00316BB9">
        <w:rPr>
          <w:szCs w:val="22"/>
        </w:rPr>
        <w:t xml:space="preserve"> </w:t>
      </w:r>
      <w:r w:rsidR="00280ED1">
        <w:rPr>
          <w:szCs w:val="22"/>
        </w:rPr>
        <w:t>which achieved</w:t>
      </w:r>
      <w:r w:rsidR="00B758F5" w:rsidRPr="00B758F5">
        <w:rPr>
          <w:szCs w:val="22"/>
        </w:rPr>
        <w:t xml:space="preserve"> </w:t>
      </w:r>
      <w:r w:rsidR="00F252CE">
        <w:rPr>
          <w:szCs w:val="22"/>
        </w:rPr>
        <w:t>126</w:t>
      </w:r>
      <w:r w:rsidRPr="00B758F5">
        <w:rPr>
          <w:szCs w:val="22"/>
        </w:rPr>
        <w:t>%</w:t>
      </w:r>
      <w:r w:rsidR="00B758F5" w:rsidRPr="00B758F5">
        <w:rPr>
          <w:szCs w:val="22"/>
        </w:rPr>
        <w:t xml:space="preserve"> of </w:t>
      </w:r>
      <w:r w:rsidR="00280ED1">
        <w:rPr>
          <w:szCs w:val="22"/>
        </w:rPr>
        <w:t xml:space="preserve">annual </w:t>
      </w:r>
      <w:r w:rsidR="00B758F5" w:rsidRPr="00B758F5">
        <w:rPr>
          <w:szCs w:val="22"/>
        </w:rPr>
        <w:t>target</w:t>
      </w:r>
      <w:r w:rsidRPr="00B758F5">
        <w:rPr>
          <w:szCs w:val="22"/>
        </w:rPr>
        <w:t xml:space="preserve">. In addition, Health care loan for </w:t>
      </w:r>
      <w:r w:rsidR="00A44E12">
        <w:rPr>
          <w:szCs w:val="22"/>
        </w:rPr>
        <w:t>4</w:t>
      </w:r>
      <w:r w:rsidRPr="00B758F5">
        <w:rPr>
          <w:szCs w:val="22"/>
        </w:rPr>
        <w:t xml:space="preserve"> members amounted to </w:t>
      </w:r>
      <w:r w:rsidR="009A1356">
        <w:rPr>
          <w:szCs w:val="22"/>
        </w:rPr>
        <w:t xml:space="preserve">US$ </w:t>
      </w:r>
      <w:r w:rsidR="00A44E12">
        <w:rPr>
          <w:szCs w:val="22"/>
        </w:rPr>
        <w:t>210</w:t>
      </w:r>
      <w:r w:rsidRPr="00B758F5">
        <w:rPr>
          <w:szCs w:val="22"/>
        </w:rPr>
        <w:t xml:space="preserve"> and Education loan for </w:t>
      </w:r>
      <w:r w:rsidR="00BB556A" w:rsidRPr="00B758F5">
        <w:rPr>
          <w:szCs w:val="22"/>
        </w:rPr>
        <w:t>56</w:t>
      </w:r>
      <w:r w:rsidRPr="00B758F5">
        <w:rPr>
          <w:szCs w:val="22"/>
        </w:rPr>
        <w:t xml:space="preserve"> member</w:t>
      </w:r>
      <w:r w:rsidR="00BB556A" w:rsidRPr="00B758F5">
        <w:rPr>
          <w:szCs w:val="22"/>
        </w:rPr>
        <w:t>s</w:t>
      </w:r>
      <w:r w:rsidRPr="00B758F5">
        <w:rPr>
          <w:szCs w:val="22"/>
        </w:rPr>
        <w:t xml:space="preserve"> amounted to </w:t>
      </w:r>
      <w:r w:rsidR="009A1356">
        <w:rPr>
          <w:szCs w:val="22"/>
        </w:rPr>
        <w:t xml:space="preserve">US$ </w:t>
      </w:r>
      <w:r w:rsidR="00BB556A" w:rsidRPr="00B758F5">
        <w:rPr>
          <w:szCs w:val="22"/>
        </w:rPr>
        <w:t>1</w:t>
      </w:r>
      <w:r w:rsidR="00B33D2F">
        <w:rPr>
          <w:szCs w:val="22"/>
        </w:rPr>
        <w:t xml:space="preserve">,084 </w:t>
      </w:r>
      <w:r w:rsidRPr="00B758F5">
        <w:rPr>
          <w:szCs w:val="22"/>
        </w:rPr>
        <w:t>were disbursed.</w:t>
      </w:r>
    </w:p>
    <w:p w:rsidR="00520A0E" w:rsidRDefault="00520A0E">
      <w:pPr>
        <w:rPr>
          <w:b/>
          <w:szCs w:val="22"/>
          <w:u w:val="single"/>
        </w:rPr>
      </w:pPr>
      <w:r>
        <w:rPr>
          <w:b/>
          <w:szCs w:val="22"/>
          <w:u w:val="single"/>
        </w:rPr>
        <w:br w:type="page"/>
      </w:r>
    </w:p>
    <w:p w:rsidR="00931D28" w:rsidRPr="00B758F5" w:rsidRDefault="00E00CFF" w:rsidP="006D04F9">
      <w:pPr>
        <w:spacing w:after="0" w:line="240" w:lineRule="auto"/>
        <w:jc w:val="both"/>
        <w:rPr>
          <w:b/>
          <w:bCs/>
          <w:szCs w:val="22"/>
        </w:rPr>
      </w:pPr>
      <w:r w:rsidRPr="003B7EBA">
        <w:rPr>
          <w:b/>
          <w:szCs w:val="22"/>
          <w:u w:val="single"/>
        </w:rPr>
        <w:lastRenderedPageBreak/>
        <w:t>OUTPUT 2:</w:t>
      </w:r>
    </w:p>
    <w:p w:rsidR="003613F9" w:rsidRPr="00B758F5" w:rsidRDefault="003613F9" w:rsidP="009D0C1E">
      <w:pPr>
        <w:spacing w:before="120" w:after="120" w:line="240" w:lineRule="auto"/>
        <w:rPr>
          <w:b/>
          <w:u w:val="single"/>
        </w:rPr>
      </w:pPr>
      <w:r w:rsidRPr="00B758F5">
        <w:rPr>
          <w:b/>
          <w:color w:val="00B0F0"/>
          <w:u w:val="single"/>
        </w:rPr>
        <w:t xml:space="preserve"> </w:t>
      </w:r>
      <w:r w:rsidRPr="00B758F5">
        <w:rPr>
          <w:b/>
          <w:u w:val="single"/>
        </w:rPr>
        <w:t>Improved access to credit for farmers and other clients through microfinance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2520"/>
        <w:gridCol w:w="2880"/>
      </w:tblGrid>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F42B78" w:rsidRDefault="00F42B78" w:rsidP="00E45E4B">
            <w:pPr>
              <w:snapToGrid w:val="0"/>
              <w:spacing w:after="0"/>
              <w:rPr>
                <w:bCs/>
                <w:szCs w:val="22"/>
              </w:rPr>
            </w:pPr>
          </w:p>
          <w:p w:rsidR="00F42B78" w:rsidRDefault="00F42B78" w:rsidP="00E45E4B">
            <w:pPr>
              <w:snapToGrid w:val="0"/>
              <w:spacing w:after="0"/>
              <w:rPr>
                <w:bCs/>
                <w:szCs w:val="22"/>
              </w:rPr>
            </w:pPr>
          </w:p>
          <w:p w:rsidR="004B66F5" w:rsidRPr="00B758F5" w:rsidRDefault="004B66F5" w:rsidP="00E45E4B">
            <w:pPr>
              <w:snapToGrid w:val="0"/>
              <w:spacing w:after="0"/>
              <w:rPr>
                <w:bCs/>
                <w:szCs w:val="22"/>
              </w:rPr>
            </w:pPr>
            <w:r w:rsidRPr="00B758F5">
              <w:rPr>
                <w:bCs/>
                <w:szCs w:val="22"/>
              </w:rPr>
              <w:t>INDICATOR 1:  Number of microfinance branches equipped with full staffing capacity and operating microfinance services</w:t>
            </w:r>
          </w:p>
        </w:tc>
        <w:tc>
          <w:tcPr>
            <w:tcW w:w="2520" w:type="dxa"/>
            <w:tcBorders>
              <w:top w:val="single" w:sz="4" w:space="0" w:color="000000"/>
              <w:left w:val="single" w:sz="4" w:space="0" w:color="000000"/>
              <w:bottom w:val="single" w:sz="4" w:space="0" w:color="000000"/>
              <w:right w:val="single" w:sz="4" w:space="0" w:color="000000"/>
            </w:tcBorders>
          </w:tcPr>
          <w:p w:rsidR="00497EA4" w:rsidRDefault="00FD72DF" w:rsidP="00FD72DF">
            <w:pPr>
              <w:snapToGrid w:val="0"/>
              <w:spacing w:after="0"/>
              <w:jc w:val="center"/>
              <w:rPr>
                <w:bCs/>
                <w:szCs w:val="22"/>
              </w:rPr>
            </w:pPr>
            <w:r>
              <w:rPr>
                <w:bCs/>
                <w:szCs w:val="22"/>
              </w:rPr>
              <w:t>MILESTONE/TARGET 2013</w:t>
            </w:r>
          </w:p>
          <w:p w:rsidR="00497EA4" w:rsidRDefault="00497EA4" w:rsidP="00FD72DF">
            <w:pPr>
              <w:snapToGrid w:val="0"/>
              <w:spacing w:after="0"/>
              <w:rPr>
                <w:bCs/>
                <w:szCs w:val="22"/>
              </w:rPr>
            </w:pPr>
          </w:p>
          <w:p w:rsidR="004B66F5" w:rsidRPr="00B758F5" w:rsidRDefault="004B66F5" w:rsidP="00FD72DF">
            <w:pPr>
              <w:snapToGrid w:val="0"/>
              <w:spacing w:after="0"/>
              <w:rPr>
                <w:bCs/>
                <w:szCs w:val="22"/>
              </w:rPr>
            </w:pPr>
            <w:r w:rsidRPr="00B758F5">
              <w:rPr>
                <w:bCs/>
                <w:szCs w:val="22"/>
              </w:rPr>
              <w:t>20</w:t>
            </w:r>
            <w:r w:rsidR="00497EA4">
              <w:rPr>
                <w:bCs/>
                <w:szCs w:val="22"/>
              </w:rPr>
              <w:t xml:space="preserve"> branches</w:t>
            </w:r>
          </w:p>
        </w:tc>
        <w:tc>
          <w:tcPr>
            <w:tcW w:w="2880" w:type="dxa"/>
            <w:tcBorders>
              <w:top w:val="single" w:sz="4" w:space="0" w:color="000000"/>
              <w:left w:val="single" w:sz="4" w:space="0" w:color="000000"/>
              <w:bottom w:val="single" w:sz="4" w:space="0" w:color="000000"/>
              <w:right w:val="single" w:sz="4" w:space="0" w:color="000000"/>
            </w:tcBorders>
          </w:tcPr>
          <w:p w:rsidR="00872578" w:rsidRPr="00B758F5" w:rsidRDefault="004B66F5" w:rsidP="00FD72DF">
            <w:pPr>
              <w:snapToGrid w:val="0"/>
              <w:spacing w:after="0"/>
              <w:rPr>
                <w:bCs/>
                <w:szCs w:val="22"/>
              </w:rPr>
            </w:pPr>
            <w:r w:rsidRPr="00B758F5">
              <w:rPr>
                <w:bCs/>
                <w:szCs w:val="22"/>
              </w:rPr>
              <w:t xml:space="preserve">Accomplishment  at the end of </w:t>
            </w:r>
            <w:r w:rsidR="00D92AAF">
              <w:rPr>
                <w:rFonts w:cs="Calibri"/>
                <w:bCs/>
                <w:szCs w:val="22"/>
              </w:rPr>
              <w:t>Dec</w:t>
            </w:r>
            <w:r w:rsidRPr="00B758F5">
              <w:rPr>
                <w:bCs/>
                <w:szCs w:val="22"/>
              </w:rPr>
              <w:t xml:space="preserve"> 2013:</w:t>
            </w:r>
          </w:p>
          <w:p w:rsidR="00FD72DF" w:rsidRDefault="00FD72DF" w:rsidP="00FD72DF">
            <w:pPr>
              <w:snapToGrid w:val="0"/>
              <w:spacing w:after="0"/>
              <w:rPr>
                <w:bCs/>
                <w:szCs w:val="22"/>
              </w:rPr>
            </w:pPr>
          </w:p>
          <w:p w:rsidR="004B66F5" w:rsidRPr="00B758F5" w:rsidRDefault="004B66F5" w:rsidP="00FD72DF">
            <w:pPr>
              <w:snapToGrid w:val="0"/>
              <w:spacing w:after="0"/>
              <w:rPr>
                <w:bCs/>
                <w:szCs w:val="22"/>
              </w:rPr>
            </w:pPr>
            <w:r w:rsidRPr="00B758F5">
              <w:rPr>
                <w:bCs/>
                <w:szCs w:val="22"/>
              </w:rPr>
              <w:t>21 branches</w:t>
            </w:r>
            <w:r w:rsidR="00FD72DF">
              <w:rPr>
                <w:bCs/>
                <w:szCs w:val="22"/>
              </w:rPr>
              <w:t xml:space="preserve"> (105%)</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Default="004B66F5" w:rsidP="00E45E4B">
            <w:pPr>
              <w:snapToGrid w:val="0"/>
              <w:spacing w:after="0"/>
              <w:rPr>
                <w:bCs/>
                <w:szCs w:val="22"/>
              </w:rPr>
            </w:pPr>
            <w:r w:rsidRPr="00B758F5">
              <w:rPr>
                <w:bCs/>
                <w:szCs w:val="22"/>
              </w:rPr>
              <w:t>INDICATOR 2: Number of microfinance clients received loans from the project</w:t>
            </w:r>
          </w:p>
          <w:p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000000"/>
            </w:tcBorders>
          </w:tcPr>
          <w:p w:rsidR="004B66F5" w:rsidRPr="00B758F5" w:rsidRDefault="00316BB9" w:rsidP="00221D64">
            <w:pPr>
              <w:snapToGrid w:val="0"/>
              <w:spacing w:after="0"/>
              <w:rPr>
                <w:bCs/>
                <w:szCs w:val="22"/>
              </w:rPr>
            </w:pPr>
            <w:r>
              <w:rPr>
                <w:bCs/>
                <w:szCs w:val="22"/>
              </w:rPr>
              <w:t>1</w:t>
            </w:r>
            <w:r w:rsidR="002E5F44">
              <w:rPr>
                <w:bCs/>
                <w:szCs w:val="22"/>
              </w:rPr>
              <w:t>3</w:t>
            </w:r>
            <w:r>
              <w:rPr>
                <w:bCs/>
                <w:szCs w:val="22"/>
              </w:rPr>
              <w:t>,</w:t>
            </w:r>
            <w:r w:rsidR="002E5F44">
              <w:rPr>
                <w:bCs/>
                <w:szCs w:val="22"/>
              </w:rPr>
              <w:t>044</w:t>
            </w:r>
            <w:r w:rsidR="007500B6">
              <w:rPr>
                <w:bCs/>
                <w:szCs w:val="22"/>
              </w:rPr>
              <w:t xml:space="preserve"> </w:t>
            </w:r>
            <w:r w:rsidR="00CE72E1">
              <w:rPr>
                <w:bCs/>
                <w:szCs w:val="22"/>
              </w:rPr>
              <w:t>clients</w:t>
            </w:r>
          </w:p>
        </w:tc>
        <w:tc>
          <w:tcPr>
            <w:tcW w:w="2880" w:type="dxa"/>
            <w:tcBorders>
              <w:top w:val="single" w:sz="4" w:space="0" w:color="000000"/>
              <w:left w:val="single" w:sz="4" w:space="0" w:color="000000"/>
              <w:bottom w:val="single" w:sz="4" w:space="0" w:color="000000"/>
              <w:right w:val="single" w:sz="4" w:space="0" w:color="000000"/>
            </w:tcBorders>
          </w:tcPr>
          <w:p w:rsidR="004B66F5" w:rsidRPr="00B758F5" w:rsidRDefault="00D92AAF" w:rsidP="00FD72DF">
            <w:pPr>
              <w:snapToGrid w:val="0"/>
              <w:spacing w:after="0"/>
              <w:rPr>
                <w:bCs/>
                <w:szCs w:val="22"/>
              </w:rPr>
            </w:pPr>
            <w:r>
              <w:rPr>
                <w:bCs/>
                <w:szCs w:val="22"/>
              </w:rPr>
              <w:t>13,378</w:t>
            </w:r>
            <w:r w:rsidR="00A414A6">
              <w:rPr>
                <w:bCs/>
                <w:szCs w:val="22"/>
              </w:rPr>
              <w:t xml:space="preserve"> clients (</w:t>
            </w:r>
            <w:r>
              <w:rPr>
                <w:bCs/>
                <w:szCs w:val="22"/>
              </w:rPr>
              <w:t>103</w:t>
            </w:r>
            <w:r w:rsidR="00825A1F">
              <w:rPr>
                <w:bCs/>
                <w:szCs w:val="22"/>
              </w:rPr>
              <w:t>%)</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Pr="00B758F5" w:rsidRDefault="004B66F5" w:rsidP="00E45E4B">
            <w:pPr>
              <w:snapToGrid w:val="0"/>
              <w:spacing w:after="0"/>
              <w:rPr>
                <w:bCs/>
                <w:szCs w:val="22"/>
              </w:rPr>
            </w:pPr>
            <w:r w:rsidRPr="00B758F5">
              <w:rPr>
                <w:bCs/>
                <w:szCs w:val="22"/>
              </w:rPr>
              <w:t xml:space="preserve">more indicators and targets (IF ANY) </w:t>
            </w:r>
          </w:p>
          <w:p w:rsidR="004B66F5" w:rsidRPr="00B758F5" w:rsidRDefault="004B66F5" w:rsidP="00E45E4B">
            <w:pPr>
              <w:snapToGrid w:val="0"/>
              <w:spacing w:after="0"/>
              <w:rPr>
                <w:bCs/>
                <w:szCs w:val="22"/>
              </w:rPr>
            </w:pPr>
            <w:r w:rsidRPr="00B758F5">
              <w:rPr>
                <w:bCs/>
                <w:szCs w:val="22"/>
              </w:rPr>
              <w:t>INDICATOR 3: Number of clients (households) accessing agricultural loans</w:t>
            </w:r>
          </w:p>
        </w:tc>
        <w:tc>
          <w:tcPr>
            <w:tcW w:w="2520" w:type="dxa"/>
            <w:tcBorders>
              <w:top w:val="single" w:sz="4" w:space="0" w:color="000000"/>
              <w:left w:val="single" w:sz="4" w:space="0" w:color="000000"/>
              <w:bottom w:val="single" w:sz="4" w:space="0" w:color="000000"/>
              <w:right w:val="single" w:sz="4" w:space="0" w:color="auto"/>
            </w:tcBorders>
          </w:tcPr>
          <w:p w:rsidR="004B66F5" w:rsidRPr="00B758F5" w:rsidRDefault="00825A1F" w:rsidP="00FD72DF">
            <w:pPr>
              <w:snapToGrid w:val="0"/>
              <w:spacing w:after="0"/>
              <w:rPr>
                <w:bCs/>
                <w:szCs w:val="22"/>
              </w:rPr>
            </w:pPr>
            <w:r>
              <w:rPr>
                <w:bCs/>
                <w:szCs w:val="22"/>
              </w:rPr>
              <w:t>3,910</w:t>
            </w:r>
            <w:r w:rsidR="00CE72E1">
              <w:rPr>
                <w:bCs/>
                <w:szCs w:val="22"/>
              </w:rPr>
              <w:t xml:space="preserve"> clients</w:t>
            </w:r>
          </w:p>
        </w:tc>
        <w:tc>
          <w:tcPr>
            <w:tcW w:w="2880" w:type="dxa"/>
            <w:tcBorders>
              <w:top w:val="single" w:sz="4" w:space="0" w:color="000000"/>
              <w:left w:val="single" w:sz="4" w:space="0" w:color="auto"/>
              <w:bottom w:val="single" w:sz="4" w:space="0" w:color="000000"/>
              <w:right w:val="single" w:sz="4" w:space="0" w:color="000000"/>
            </w:tcBorders>
          </w:tcPr>
          <w:p w:rsidR="004B66F5" w:rsidRPr="00B758F5" w:rsidRDefault="00D92AAF" w:rsidP="00FD72DF">
            <w:pPr>
              <w:snapToGrid w:val="0"/>
              <w:spacing w:after="0"/>
              <w:rPr>
                <w:bCs/>
                <w:i/>
                <w:szCs w:val="22"/>
              </w:rPr>
            </w:pPr>
            <w:r>
              <w:rPr>
                <w:bCs/>
                <w:szCs w:val="22"/>
              </w:rPr>
              <w:t>5,241</w:t>
            </w:r>
            <w:r w:rsidR="00A44E12">
              <w:rPr>
                <w:bCs/>
                <w:szCs w:val="22"/>
              </w:rPr>
              <w:t xml:space="preserve"> </w:t>
            </w:r>
            <w:r w:rsidR="00CE72E1" w:rsidRPr="005D704D">
              <w:rPr>
                <w:bCs/>
                <w:szCs w:val="22"/>
              </w:rPr>
              <w:t xml:space="preserve">clients </w:t>
            </w:r>
            <w:r w:rsidR="00137C80" w:rsidRPr="005D704D">
              <w:rPr>
                <w:bCs/>
                <w:szCs w:val="22"/>
              </w:rPr>
              <w:t>(</w:t>
            </w:r>
            <w:r w:rsidR="005D704D" w:rsidRPr="005D704D">
              <w:rPr>
                <w:bCs/>
                <w:szCs w:val="22"/>
              </w:rPr>
              <w:t>134</w:t>
            </w:r>
            <w:r w:rsidR="00137C80" w:rsidRPr="005D704D">
              <w:rPr>
                <w:bCs/>
                <w:szCs w:val="22"/>
              </w:rPr>
              <w:t>%)</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Default="004B66F5" w:rsidP="00E45E4B">
            <w:pPr>
              <w:snapToGrid w:val="0"/>
              <w:spacing w:after="0"/>
              <w:rPr>
                <w:bCs/>
                <w:szCs w:val="22"/>
              </w:rPr>
            </w:pPr>
            <w:r w:rsidRPr="00B758F5">
              <w:rPr>
                <w:bCs/>
                <w:szCs w:val="22"/>
              </w:rPr>
              <w:t>INDICATOR 4: Amount of Agricultural loan disbursed (USD)</w:t>
            </w:r>
          </w:p>
          <w:p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auto"/>
            </w:tcBorders>
          </w:tcPr>
          <w:p w:rsidR="004B66F5" w:rsidRPr="00B758F5" w:rsidRDefault="00CE72E1" w:rsidP="00FD72DF">
            <w:pPr>
              <w:snapToGrid w:val="0"/>
              <w:spacing w:after="0"/>
              <w:rPr>
                <w:bCs/>
                <w:szCs w:val="22"/>
              </w:rPr>
            </w:pPr>
            <w:r>
              <w:rPr>
                <w:bCs/>
                <w:szCs w:val="22"/>
              </w:rPr>
              <w:t xml:space="preserve">USD </w:t>
            </w:r>
            <w:r w:rsidR="00A44E12">
              <w:rPr>
                <w:bCs/>
                <w:szCs w:val="22"/>
              </w:rPr>
              <w:t>475,990</w:t>
            </w:r>
          </w:p>
        </w:tc>
        <w:tc>
          <w:tcPr>
            <w:tcW w:w="2880" w:type="dxa"/>
            <w:tcBorders>
              <w:top w:val="single" w:sz="4" w:space="0" w:color="000000"/>
              <w:left w:val="single" w:sz="4" w:space="0" w:color="auto"/>
              <w:bottom w:val="single" w:sz="4" w:space="0" w:color="000000"/>
              <w:right w:val="single" w:sz="4" w:space="0" w:color="000000"/>
            </w:tcBorders>
          </w:tcPr>
          <w:p w:rsidR="004B66F5" w:rsidRPr="00B758F5" w:rsidRDefault="00CE72E1" w:rsidP="00FD72DF">
            <w:pPr>
              <w:snapToGrid w:val="0"/>
              <w:spacing w:after="0"/>
              <w:rPr>
                <w:bCs/>
                <w:szCs w:val="22"/>
              </w:rPr>
            </w:pPr>
            <w:r w:rsidRPr="003B7EBA">
              <w:rPr>
                <w:bCs/>
                <w:szCs w:val="22"/>
              </w:rPr>
              <w:t xml:space="preserve">USD </w:t>
            </w:r>
            <w:r w:rsidR="003B7EBA" w:rsidRPr="003B7EBA">
              <w:rPr>
                <w:bCs/>
                <w:szCs w:val="22"/>
              </w:rPr>
              <w:t>1,539,527 (323</w:t>
            </w:r>
            <w:r w:rsidR="00A414A6" w:rsidRPr="003B7EBA">
              <w:rPr>
                <w:bCs/>
                <w:szCs w:val="22"/>
              </w:rPr>
              <w:t>%)</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Default="004B66F5" w:rsidP="00E45E4B">
            <w:pPr>
              <w:snapToGrid w:val="0"/>
              <w:spacing w:after="0"/>
              <w:rPr>
                <w:bCs/>
                <w:szCs w:val="22"/>
              </w:rPr>
            </w:pPr>
            <w:r w:rsidRPr="00B758F5">
              <w:rPr>
                <w:bCs/>
                <w:szCs w:val="22"/>
              </w:rPr>
              <w:t>INDICATOR 5: Number of clients (households) accessing livestock loans</w:t>
            </w:r>
          </w:p>
          <w:p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auto"/>
            </w:tcBorders>
          </w:tcPr>
          <w:p w:rsidR="004B66F5" w:rsidRPr="00B758F5" w:rsidRDefault="00A44E12" w:rsidP="00FD72DF">
            <w:pPr>
              <w:snapToGrid w:val="0"/>
              <w:spacing w:after="0"/>
              <w:rPr>
                <w:bCs/>
                <w:szCs w:val="22"/>
              </w:rPr>
            </w:pPr>
            <w:r>
              <w:rPr>
                <w:bCs/>
                <w:szCs w:val="22"/>
              </w:rPr>
              <w:t>2,608</w:t>
            </w:r>
            <w:r w:rsidR="00CE72E1">
              <w:rPr>
                <w:bCs/>
                <w:szCs w:val="22"/>
              </w:rPr>
              <w:t xml:space="preserve"> clients</w:t>
            </w:r>
          </w:p>
        </w:tc>
        <w:tc>
          <w:tcPr>
            <w:tcW w:w="2880" w:type="dxa"/>
            <w:tcBorders>
              <w:top w:val="single" w:sz="4" w:space="0" w:color="000000"/>
              <w:left w:val="single" w:sz="4" w:space="0" w:color="auto"/>
              <w:bottom w:val="single" w:sz="4" w:space="0" w:color="000000"/>
              <w:right w:val="single" w:sz="4" w:space="0" w:color="000000"/>
            </w:tcBorders>
          </w:tcPr>
          <w:p w:rsidR="004B66F5" w:rsidRPr="00B758F5" w:rsidRDefault="00D92AAF" w:rsidP="00FD72DF">
            <w:pPr>
              <w:snapToGrid w:val="0"/>
              <w:spacing w:after="0"/>
              <w:rPr>
                <w:sz w:val="16"/>
                <w:szCs w:val="16"/>
              </w:rPr>
            </w:pPr>
            <w:r>
              <w:rPr>
                <w:bCs/>
                <w:szCs w:val="22"/>
              </w:rPr>
              <w:t>6,155</w:t>
            </w:r>
            <w:r w:rsidR="00A414A6">
              <w:rPr>
                <w:bCs/>
                <w:szCs w:val="22"/>
              </w:rPr>
              <w:t xml:space="preserve"> </w:t>
            </w:r>
            <w:r w:rsidR="00CE72E1" w:rsidRPr="005D704D">
              <w:rPr>
                <w:bCs/>
                <w:szCs w:val="22"/>
              </w:rPr>
              <w:t xml:space="preserve">clients </w:t>
            </w:r>
            <w:r w:rsidR="00A414A6" w:rsidRPr="005D704D">
              <w:rPr>
                <w:bCs/>
                <w:szCs w:val="22"/>
              </w:rPr>
              <w:t>(</w:t>
            </w:r>
            <w:r w:rsidR="005D704D" w:rsidRPr="005D704D">
              <w:rPr>
                <w:bCs/>
                <w:szCs w:val="22"/>
              </w:rPr>
              <w:t>236</w:t>
            </w:r>
            <w:r w:rsidR="00A414A6" w:rsidRPr="005D704D">
              <w:rPr>
                <w:bCs/>
                <w:szCs w:val="22"/>
              </w:rPr>
              <w:t>%)</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Default="004B66F5" w:rsidP="00E45E4B">
            <w:pPr>
              <w:snapToGrid w:val="0"/>
              <w:spacing w:after="0"/>
              <w:rPr>
                <w:bCs/>
                <w:szCs w:val="22"/>
              </w:rPr>
            </w:pPr>
            <w:r w:rsidRPr="00B758F5">
              <w:rPr>
                <w:bCs/>
                <w:szCs w:val="22"/>
              </w:rPr>
              <w:t>INDICATOR 6: Amount of livestock loan disbursed (USD)</w:t>
            </w:r>
          </w:p>
          <w:p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auto"/>
            </w:tcBorders>
          </w:tcPr>
          <w:p w:rsidR="004B66F5" w:rsidRPr="00B758F5" w:rsidRDefault="00CE72E1" w:rsidP="00FD72DF">
            <w:pPr>
              <w:snapToGrid w:val="0"/>
              <w:spacing w:after="0"/>
              <w:rPr>
                <w:bCs/>
                <w:szCs w:val="22"/>
              </w:rPr>
            </w:pPr>
            <w:r>
              <w:rPr>
                <w:bCs/>
                <w:szCs w:val="22"/>
              </w:rPr>
              <w:t xml:space="preserve">USD </w:t>
            </w:r>
            <w:r w:rsidR="00A44E12">
              <w:rPr>
                <w:bCs/>
                <w:szCs w:val="22"/>
              </w:rPr>
              <w:t>95,844</w:t>
            </w:r>
          </w:p>
        </w:tc>
        <w:tc>
          <w:tcPr>
            <w:tcW w:w="2880" w:type="dxa"/>
            <w:tcBorders>
              <w:top w:val="single" w:sz="4" w:space="0" w:color="000000"/>
              <w:left w:val="single" w:sz="4" w:space="0" w:color="auto"/>
              <w:bottom w:val="single" w:sz="4" w:space="0" w:color="000000"/>
              <w:right w:val="single" w:sz="4" w:space="0" w:color="000000"/>
            </w:tcBorders>
          </w:tcPr>
          <w:p w:rsidR="004B66F5" w:rsidRPr="00B758F5" w:rsidRDefault="00CE72E1" w:rsidP="00FD72DF">
            <w:pPr>
              <w:snapToGrid w:val="0"/>
              <w:spacing w:after="0"/>
              <w:rPr>
                <w:bCs/>
                <w:szCs w:val="22"/>
              </w:rPr>
            </w:pPr>
            <w:r>
              <w:rPr>
                <w:bCs/>
                <w:szCs w:val="22"/>
              </w:rPr>
              <w:t xml:space="preserve">USD </w:t>
            </w:r>
            <w:r w:rsidR="003B7EBA">
              <w:rPr>
                <w:bCs/>
                <w:szCs w:val="22"/>
              </w:rPr>
              <w:t>947,728</w:t>
            </w:r>
            <w:r w:rsidR="00A414A6">
              <w:rPr>
                <w:bCs/>
                <w:szCs w:val="22"/>
              </w:rPr>
              <w:t xml:space="preserve"> (</w:t>
            </w:r>
            <w:r w:rsidR="003B7EBA">
              <w:rPr>
                <w:bCs/>
                <w:szCs w:val="22"/>
              </w:rPr>
              <w:t>989</w:t>
            </w:r>
            <w:r w:rsidR="00A414A6">
              <w:rPr>
                <w:bCs/>
                <w:szCs w:val="22"/>
              </w:rPr>
              <w:t>%)</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Pr="00B758F5" w:rsidRDefault="004B66F5" w:rsidP="00E45E4B">
            <w:pPr>
              <w:snapToGrid w:val="0"/>
              <w:spacing w:after="0"/>
              <w:rPr>
                <w:bCs/>
                <w:szCs w:val="22"/>
              </w:rPr>
            </w:pPr>
            <w:r w:rsidRPr="00B758F5">
              <w:rPr>
                <w:bCs/>
                <w:szCs w:val="22"/>
              </w:rPr>
              <w:t>INDICATOR 7: Number of clients (households) accessing off farm (MSE, agro-processing) loans</w:t>
            </w:r>
          </w:p>
        </w:tc>
        <w:tc>
          <w:tcPr>
            <w:tcW w:w="2520" w:type="dxa"/>
            <w:tcBorders>
              <w:top w:val="single" w:sz="4" w:space="0" w:color="000000"/>
              <w:left w:val="single" w:sz="4" w:space="0" w:color="000000"/>
              <w:bottom w:val="single" w:sz="4" w:space="0" w:color="000000"/>
              <w:right w:val="single" w:sz="4" w:space="0" w:color="auto"/>
            </w:tcBorders>
          </w:tcPr>
          <w:p w:rsidR="004B66F5" w:rsidRPr="00B758F5" w:rsidRDefault="00A44E12" w:rsidP="00FD72DF">
            <w:pPr>
              <w:snapToGrid w:val="0"/>
              <w:spacing w:after="0"/>
              <w:rPr>
                <w:bCs/>
                <w:szCs w:val="22"/>
              </w:rPr>
            </w:pPr>
            <w:r>
              <w:rPr>
                <w:bCs/>
                <w:szCs w:val="22"/>
              </w:rPr>
              <w:t>1,314</w:t>
            </w:r>
            <w:r w:rsidR="00CE72E1">
              <w:rPr>
                <w:bCs/>
                <w:szCs w:val="22"/>
              </w:rPr>
              <w:t xml:space="preserve"> clients</w:t>
            </w:r>
          </w:p>
        </w:tc>
        <w:tc>
          <w:tcPr>
            <w:tcW w:w="2880" w:type="dxa"/>
            <w:tcBorders>
              <w:top w:val="single" w:sz="4" w:space="0" w:color="000000"/>
              <w:left w:val="single" w:sz="4" w:space="0" w:color="auto"/>
              <w:bottom w:val="single" w:sz="4" w:space="0" w:color="000000"/>
              <w:right w:val="single" w:sz="4" w:space="0" w:color="000000"/>
            </w:tcBorders>
          </w:tcPr>
          <w:p w:rsidR="004B66F5" w:rsidRPr="00B758F5" w:rsidRDefault="00D92AAF" w:rsidP="00FD72DF">
            <w:pPr>
              <w:snapToGrid w:val="0"/>
              <w:spacing w:after="0"/>
              <w:rPr>
                <w:bCs/>
                <w:szCs w:val="22"/>
              </w:rPr>
            </w:pPr>
            <w:r>
              <w:rPr>
                <w:bCs/>
                <w:szCs w:val="22"/>
              </w:rPr>
              <w:t>4,779</w:t>
            </w:r>
            <w:r w:rsidR="00A44E12">
              <w:rPr>
                <w:bCs/>
                <w:szCs w:val="22"/>
              </w:rPr>
              <w:t xml:space="preserve"> </w:t>
            </w:r>
            <w:r w:rsidR="00CE72E1">
              <w:rPr>
                <w:bCs/>
                <w:szCs w:val="22"/>
              </w:rPr>
              <w:t xml:space="preserve">clients </w:t>
            </w:r>
            <w:r w:rsidR="003B7EBA">
              <w:rPr>
                <w:bCs/>
                <w:szCs w:val="22"/>
              </w:rPr>
              <w:t>(364</w:t>
            </w:r>
            <w:r w:rsidR="00A414A6">
              <w:rPr>
                <w:bCs/>
                <w:szCs w:val="22"/>
              </w:rPr>
              <w:t>%)</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Default="004B66F5" w:rsidP="00E45E4B">
            <w:pPr>
              <w:snapToGrid w:val="0"/>
              <w:spacing w:after="0"/>
              <w:rPr>
                <w:bCs/>
                <w:szCs w:val="22"/>
              </w:rPr>
            </w:pPr>
            <w:r w:rsidRPr="00B758F5">
              <w:rPr>
                <w:bCs/>
                <w:szCs w:val="22"/>
              </w:rPr>
              <w:t>INDICATOR 8: Amount of off farm loan disbursed (USD)</w:t>
            </w:r>
          </w:p>
          <w:p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auto"/>
            </w:tcBorders>
          </w:tcPr>
          <w:p w:rsidR="004B66F5" w:rsidRPr="00B758F5" w:rsidRDefault="00CE72E1" w:rsidP="00FD72DF">
            <w:pPr>
              <w:snapToGrid w:val="0"/>
              <w:spacing w:after="0"/>
              <w:rPr>
                <w:bCs/>
                <w:szCs w:val="22"/>
              </w:rPr>
            </w:pPr>
            <w:r>
              <w:rPr>
                <w:bCs/>
                <w:szCs w:val="22"/>
              </w:rPr>
              <w:t xml:space="preserve">USD </w:t>
            </w:r>
            <w:r w:rsidR="00A44E12">
              <w:rPr>
                <w:bCs/>
                <w:szCs w:val="22"/>
              </w:rPr>
              <w:t>47,628</w:t>
            </w:r>
          </w:p>
        </w:tc>
        <w:tc>
          <w:tcPr>
            <w:tcW w:w="2880" w:type="dxa"/>
            <w:tcBorders>
              <w:top w:val="single" w:sz="4" w:space="0" w:color="000000"/>
              <w:left w:val="single" w:sz="4" w:space="0" w:color="auto"/>
              <w:bottom w:val="single" w:sz="4" w:space="0" w:color="000000"/>
              <w:right w:val="single" w:sz="4" w:space="0" w:color="000000"/>
            </w:tcBorders>
          </w:tcPr>
          <w:p w:rsidR="004B66F5" w:rsidRPr="00B758F5" w:rsidRDefault="00CE72E1" w:rsidP="00FD72DF">
            <w:pPr>
              <w:snapToGrid w:val="0"/>
              <w:spacing w:after="0"/>
              <w:rPr>
                <w:bCs/>
                <w:szCs w:val="22"/>
              </w:rPr>
            </w:pPr>
            <w:r w:rsidRPr="003B7EBA">
              <w:rPr>
                <w:bCs/>
                <w:szCs w:val="22"/>
              </w:rPr>
              <w:t xml:space="preserve">USD </w:t>
            </w:r>
            <w:r w:rsidR="003B7EBA" w:rsidRPr="003B7EBA">
              <w:rPr>
                <w:bCs/>
                <w:szCs w:val="22"/>
              </w:rPr>
              <w:t>766,935</w:t>
            </w:r>
            <w:r w:rsidR="00A44E12" w:rsidRPr="003B7EBA">
              <w:rPr>
                <w:bCs/>
                <w:szCs w:val="22"/>
              </w:rPr>
              <w:t xml:space="preserve"> </w:t>
            </w:r>
            <w:r w:rsidR="003B7EBA" w:rsidRPr="003B7EBA">
              <w:rPr>
                <w:bCs/>
                <w:szCs w:val="22"/>
              </w:rPr>
              <w:t>(1610</w:t>
            </w:r>
            <w:r w:rsidRPr="003B7EBA">
              <w:rPr>
                <w:bCs/>
                <w:szCs w:val="22"/>
              </w:rPr>
              <w:t>%)</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Default="004B66F5" w:rsidP="00E45E4B">
            <w:pPr>
              <w:snapToGrid w:val="0"/>
              <w:spacing w:after="0"/>
              <w:rPr>
                <w:bCs/>
                <w:szCs w:val="22"/>
              </w:rPr>
            </w:pPr>
            <w:r w:rsidRPr="00B758F5">
              <w:rPr>
                <w:bCs/>
                <w:szCs w:val="22"/>
              </w:rPr>
              <w:t>INDICATOR 9: Number of clients (households) accessing agro-trading loans</w:t>
            </w:r>
          </w:p>
          <w:p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auto"/>
            </w:tcBorders>
          </w:tcPr>
          <w:p w:rsidR="004B66F5" w:rsidRPr="00B758F5" w:rsidRDefault="00A44E12" w:rsidP="00FD72DF">
            <w:pPr>
              <w:snapToGrid w:val="0"/>
              <w:spacing w:after="0"/>
              <w:rPr>
                <w:bCs/>
                <w:szCs w:val="22"/>
              </w:rPr>
            </w:pPr>
            <w:r>
              <w:rPr>
                <w:bCs/>
                <w:szCs w:val="22"/>
              </w:rPr>
              <w:t>1,302</w:t>
            </w:r>
            <w:r w:rsidR="00CE72E1">
              <w:rPr>
                <w:bCs/>
                <w:szCs w:val="22"/>
              </w:rPr>
              <w:t xml:space="preserve"> clients</w:t>
            </w:r>
          </w:p>
        </w:tc>
        <w:tc>
          <w:tcPr>
            <w:tcW w:w="2880" w:type="dxa"/>
            <w:tcBorders>
              <w:top w:val="single" w:sz="4" w:space="0" w:color="000000"/>
              <w:left w:val="single" w:sz="4" w:space="0" w:color="auto"/>
              <w:bottom w:val="single" w:sz="4" w:space="0" w:color="000000"/>
              <w:right w:val="single" w:sz="4" w:space="0" w:color="000000"/>
            </w:tcBorders>
          </w:tcPr>
          <w:p w:rsidR="004B66F5" w:rsidRPr="00B758F5" w:rsidRDefault="00D92AAF" w:rsidP="00FD72DF">
            <w:pPr>
              <w:snapToGrid w:val="0"/>
              <w:spacing w:after="0"/>
              <w:rPr>
                <w:bCs/>
                <w:szCs w:val="22"/>
              </w:rPr>
            </w:pPr>
            <w:r>
              <w:rPr>
                <w:bCs/>
                <w:szCs w:val="22"/>
              </w:rPr>
              <w:t>420</w:t>
            </w:r>
            <w:r w:rsidR="000C7018">
              <w:rPr>
                <w:bCs/>
                <w:szCs w:val="22"/>
              </w:rPr>
              <w:t xml:space="preserve"> clients (</w:t>
            </w:r>
            <w:r w:rsidR="005D704D">
              <w:rPr>
                <w:bCs/>
                <w:szCs w:val="22"/>
              </w:rPr>
              <w:t>32</w:t>
            </w:r>
            <w:r w:rsidR="000C7018">
              <w:rPr>
                <w:bCs/>
                <w:szCs w:val="22"/>
              </w:rPr>
              <w:t>%)</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Default="004B66F5" w:rsidP="00E45E4B">
            <w:pPr>
              <w:snapToGrid w:val="0"/>
              <w:spacing w:after="0"/>
              <w:rPr>
                <w:bCs/>
                <w:szCs w:val="22"/>
              </w:rPr>
            </w:pPr>
            <w:r w:rsidRPr="00B758F5">
              <w:rPr>
                <w:bCs/>
                <w:szCs w:val="22"/>
              </w:rPr>
              <w:t>INDICATOR 10: Amount of agro-trading loans disbursed (USD)</w:t>
            </w:r>
          </w:p>
          <w:p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auto"/>
            </w:tcBorders>
          </w:tcPr>
          <w:p w:rsidR="004B66F5" w:rsidRPr="00B758F5" w:rsidRDefault="00CE72E1" w:rsidP="00FD72DF">
            <w:pPr>
              <w:snapToGrid w:val="0"/>
              <w:spacing w:after="0"/>
              <w:rPr>
                <w:bCs/>
                <w:szCs w:val="22"/>
              </w:rPr>
            </w:pPr>
            <w:r>
              <w:rPr>
                <w:bCs/>
                <w:szCs w:val="22"/>
              </w:rPr>
              <w:t xml:space="preserve">USD </w:t>
            </w:r>
            <w:r w:rsidR="00A44E12">
              <w:rPr>
                <w:bCs/>
                <w:szCs w:val="22"/>
              </w:rPr>
              <w:t>48</w:t>
            </w:r>
            <w:r w:rsidR="009D40B5">
              <w:rPr>
                <w:bCs/>
                <w:szCs w:val="22"/>
              </w:rPr>
              <w:t>,</w:t>
            </w:r>
            <w:r w:rsidR="00A44E12">
              <w:rPr>
                <w:bCs/>
                <w:szCs w:val="22"/>
              </w:rPr>
              <w:t>069</w:t>
            </w:r>
          </w:p>
        </w:tc>
        <w:tc>
          <w:tcPr>
            <w:tcW w:w="2880" w:type="dxa"/>
            <w:tcBorders>
              <w:top w:val="single" w:sz="4" w:space="0" w:color="000000"/>
              <w:left w:val="single" w:sz="4" w:space="0" w:color="auto"/>
              <w:bottom w:val="single" w:sz="4" w:space="0" w:color="000000"/>
              <w:right w:val="single" w:sz="4" w:space="0" w:color="000000"/>
            </w:tcBorders>
          </w:tcPr>
          <w:p w:rsidR="004B66F5" w:rsidRPr="00B758F5" w:rsidRDefault="00CE72E1" w:rsidP="00FD72DF">
            <w:pPr>
              <w:snapToGrid w:val="0"/>
              <w:spacing w:after="0"/>
              <w:rPr>
                <w:bCs/>
                <w:szCs w:val="22"/>
              </w:rPr>
            </w:pPr>
            <w:r>
              <w:rPr>
                <w:bCs/>
                <w:szCs w:val="22"/>
              </w:rPr>
              <w:t xml:space="preserve">USD </w:t>
            </w:r>
            <w:r w:rsidR="003B7EBA">
              <w:rPr>
                <w:bCs/>
                <w:szCs w:val="22"/>
              </w:rPr>
              <w:t>68,232</w:t>
            </w:r>
            <w:r w:rsidR="004B66F5" w:rsidRPr="00B758F5">
              <w:rPr>
                <w:bCs/>
                <w:szCs w:val="22"/>
              </w:rPr>
              <w:t xml:space="preserve"> </w:t>
            </w:r>
            <w:r w:rsidR="00E936DD">
              <w:rPr>
                <w:bCs/>
                <w:szCs w:val="22"/>
              </w:rPr>
              <w:t>(</w:t>
            </w:r>
            <w:r w:rsidR="005D704D">
              <w:rPr>
                <w:bCs/>
                <w:szCs w:val="22"/>
              </w:rPr>
              <w:t>142</w:t>
            </w:r>
            <w:r w:rsidR="000C7018">
              <w:rPr>
                <w:bCs/>
                <w:szCs w:val="22"/>
              </w:rPr>
              <w:t>%)</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Pr="00B758F5" w:rsidRDefault="004B66F5" w:rsidP="00E45E4B">
            <w:pPr>
              <w:snapToGrid w:val="0"/>
              <w:spacing w:after="0"/>
              <w:rPr>
                <w:bCs/>
                <w:szCs w:val="22"/>
              </w:rPr>
            </w:pPr>
            <w:r w:rsidRPr="00B758F5">
              <w:rPr>
                <w:bCs/>
                <w:szCs w:val="22"/>
              </w:rPr>
              <w:t>INDICATOR 11: Number of impact assessment study conducted and assessment report produced</w:t>
            </w:r>
          </w:p>
        </w:tc>
        <w:tc>
          <w:tcPr>
            <w:tcW w:w="2520" w:type="dxa"/>
            <w:tcBorders>
              <w:top w:val="single" w:sz="4" w:space="0" w:color="000000"/>
              <w:left w:val="single" w:sz="4" w:space="0" w:color="000000"/>
              <w:bottom w:val="single" w:sz="4" w:space="0" w:color="000000"/>
              <w:right w:val="single" w:sz="4" w:space="0" w:color="auto"/>
            </w:tcBorders>
          </w:tcPr>
          <w:p w:rsidR="004B66F5" w:rsidRPr="00B758F5" w:rsidRDefault="004B66F5" w:rsidP="00FD72DF">
            <w:pPr>
              <w:snapToGrid w:val="0"/>
              <w:spacing w:after="0"/>
              <w:rPr>
                <w:bCs/>
                <w:szCs w:val="22"/>
                <w:u w:val="single"/>
              </w:rPr>
            </w:pPr>
            <w:r w:rsidRPr="00E04489">
              <w:rPr>
                <w:bCs/>
                <w:szCs w:val="22"/>
              </w:rPr>
              <w:t>1</w:t>
            </w:r>
          </w:p>
        </w:tc>
        <w:tc>
          <w:tcPr>
            <w:tcW w:w="2880" w:type="dxa"/>
            <w:tcBorders>
              <w:top w:val="single" w:sz="4" w:space="0" w:color="000000"/>
              <w:left w:val="single" w:sz="4" w:space="0" w:color="auto"/>
              <w:bottom w:val="single" w:sz="4" w:space="0" w:color="000000"/>
              <w:right w:val="single" w:sz="4" w:space="0" w:color="000000"/>
            </w:tcBorders>
          </w:tcPr>
          <w:p w:rsidR="004B66F5" w:rsidRPr="004454F0" w:rsidRDefault="004454F0" w:rsidP="00FD72DF">
            <w:pPr>
              <w:snapToGrid w:val="0"/>
              <w:spacing w:after="0"/>
              <w:rPr>
                <w:bCs/>
                <w:szCs w:val="22"/>
              </w:rPr>
            </w:pPr>
            <w:r w:rsidRPr="004454F0">
              <w:rPr>
                <w:bCs/>
                <w:szCs w:val="22"/>
              </w:rPr>
              <w:t>Internal assessment;</w:t>
            </w:r>
          </w:p>
          <w:p w:rsidR="004454F0" w:rsidRPr="004454F0" w:rsidRDefault="004454F0" w:rsidP="00FD72DF">
            <w:pPr>
              <w:snapToGrid w:val="0"/>
              <w:spacing w:after="0"/>
              <w:rPr>
                <w:rFonts w:ascii="Garamond" w:hAnsi="Garamond" w:cs="Zawgyi-One"/>
                <w:b/>
                <w:bCs/>
                <w:szCs w:val="22"/>
              </w:rPr>
            </w:pPr>
            <w:r w:rsidRPr="004454F0">
              <w:rPr>
                <w:bCs/>
                <w:szCs w:val="22"/>
              </w:rPr>
              <w:t>5,827 household increased income after intervention.</w:t>
            </w:r>
          </w:p>
        </w:tc>
      </w:tr>
    </w:tbl>
    <w:p w:rsidR="004F2B3C" w:rsidRDefault="004F2B3C" w:rsidP="004F2B3C">
      <w:pPr>
        <w:spacing w:before="120" w:after="120" w:line="240" w:lineRule="auto"/>
        <w:jc w:val="both"/>
        <w:rPr>
          <w:b/>
          <w:szCs w:val="22"/>
          <w:u w:val="single"/>
        </w:rPr>
      </w:pPr>
    </w:p>
    <w:p w:rsidR="00E00CFF" w:rsidRPr="004F2B3C" w:rsidRDefault="00BD7778" w:rsidP="008401C0">
      <w:pPr>
        <w:pBdr>
          <w:bottom w:val="single" w:sz="4" w:space="1" w:color="auto"/>
        </w:pBdr>
        <w:spacing w:before="120" w:after="120" w:line="240" w:lineRule="auto"/>
        <w:jc w:val="both"/>
        <w:rPr>
          <w:b/>
          <w:szCs w:val="22"/>
        </w:rPr>
      </w:pPr>
      <w:r w:rsidRPr="004F2B3C">
        <w:rPr>
          <w:b/>
          <w:szCs w:val="22"/>
        </w:rPr>
        <w:t>Lesson learned/</w:t>
      </w:r>
      <w:r w:rsidR="00E00CFF" w:rsidRPr="004F2B3C">
        <w:rPr>
          <w:b/>
          <w:szCs w:val="22"/>
        </w:rPr>
        <w:t>Comments and Reasons if progress below target and response strategies</w:t>
      </w:r>
    </w:p>
    <w:p w:rsidR="00B54832" w:rsidRPr="00CE07D4" w:rsidRDefault="00CC2339" w:rsidP="00CC2339">
      <w:pPr>
        <w:spacing w:before="120" w:after="120" w:line="240" w:lineRule="auto"/>
        <w:jc w:val="both"/>
        <w:rPr>
          <w:szCs w:val="22"/>
        </w:rPr>
      </w:pPr>
      <w:r w:rsidRPr="003B7EBA">
        <w:rPr>
          <w:szCs w:val="22"/>
        </w:rPr>
        <w:t xml:space="preserve">According to performance achievement mentioned in the above table, agro-trading loans were </w:t>
      </w:r>
      <w:r w:rsidR="00872578" w:rsidRPr="003B7EBA">
        <w:rPr>
          <w:szCs w:val="22"/>
        </w:rPr>
        <w:t xml:space="preserve">implemented against target by </w:t>
      </w:r>
      <w:r w:rsidR="003B7EBA" w:rsidRPr="003B7EBA">
        <w:rPr>
          <w:szCs w:val="22"/>
        </w:rPr>
        <w:t>32</w:t>
      </w:r>
      <w:r w:rsidRPr="003B7EBA">
        <w:rPr>
          <w:szCs w:val="22"/>
        </w:rPr>
        <w:t xml:space="preserve">% as trading of agro-base products are done by a </w:t>
      </w:r>
      <w:r w:rsidR="008401C0" w:rsidRPr="003B7EBA">
        <w:rPr>
          <w:szCs w:val="22"/>
        </w:rPr>
        <w:t>few of millers and other trades, who influence the market.</w:t>
      </w:r>
      <w:r w:rsidR="00520A0E">
        <w:rPr>
          <w:szCs w:val="22"/>
        </w:rPr>
        <w:t xml:space="preserve"> </w:t>
      </w:r>
      <w:r w:rsidRPr="00CE07D4">
        <w:rPr>
          <w:szCs w:val="22"/>
        </w:rPr>
        <w:t xml:space="preserve">Target for buying and selling of agro </w:t>
      </w:r>
      <w:r w:rsidR="00090D65" w:rsidRPr="00CE07D4">
        <w:rPr>
          <w:szCs w:val="22"/>
        </w:rPr>
        <w:t xml:space="preserve">and </w:t>
      </w:r>
      <w:r w:rsidRPr="00CE07D4">
        <w:rPr>
          <w:szCs w:val="22"/>
        </w:rPr>
        <w:t>agro-base</w:t>
      </w:r>
      <w:r w:rsidR="00090D65" w:rsidRPr="00CE07D4">
        <w:rPr>
          <w:szCs w:val="22"/>
        </w:rPr>
        <w:t>d</w:t>
      </w:r>
      <w:r w:rsidRPr="00CE07D4">
        <w:rPr>
          <w:szCs w:val="22"/>
        </w:rPr>
        <w:t xml:space="preserve"> products </w:t>
      </w:r>
      <w:r w:rsidR="00CE07D4" w:rsidRPr="00CE07D4">
        <w:rPr>
          <w:szCs w:val="22"/>
        </w:rPr>
        <w:t xml:space="preserve">still need to </w:t>
      </w:r>
      <w:r w:rsidR="00316BB9" w:rsidRPr="00CE07D4">
        <w:rPr>
          <w:szCs w:val="22"/>
        </w:rPr>
        <w:t>be revised as there are</w:t>
      </w:r>
      <w:r w:rsidRPr="00CE07D4">
        <w:rPr>
          <w:szCs w:val="22"/>
        </w:rPr>
        <w:t xml:space="preserve"> few opportunities for poor of Delta zone to do trading of agro-product. </w:t>
      </w:r>
    </w:p>
    <w:p w:rsidR="00CE07D4" w:rsidRPr="003D0402" w:rsidRDefault="00CE07D4" w:rsidP="00CE07D4">
      <w:pPr>
        <w:spacing w:before="120" w:after="120" w:line="240" w:lineRule="auto"/>
        <w:jc w:val="both"/>
        <w:rPr>
          <w:szCs w:val="22"/>
        </w:rPr>
      </w:pPr>
      <w:r w:rsidRPr="004D4CEC">
        <w:rPr>
          <w:szCs w:val="22"/>
        </w:rPr>
        <w:lastRenderedPageBreak/>
        <w:t xml:space="preserve">For the benefit of members’ families, there is a social loan type termed as Health-care loan and education loan. Although there are no target for those loan type in LIFT II Delta Program, the borrower could have access to those loans. Health care loan for </w:t>
      </w:r>
      <w:r>
        <w:rPr>
          <w:szCs w:val="22"/>
        </w:rPr>
        <w:t>10</w:t>
      </w:r>
      <w:r w:rsidRPr="004D4CEC">
        <w:rPr>
          <w:szCs w:val="22"/>
        </w:rPr>
        <w:t xml:space="preserve"> members amounted to </w:t>
      </w:r>
      <w:r>
        <w:rPr>
          <w:szCs w:val="22"/>
        </w:rPr>
        <w:t>536</w:t>
      </w:r>
      <w:r w:rsidRPr="004D4CEC">
        <w:rPr>
          <w:szCs w:val="22"/>
        </w:rPr>
        <w:t xml:space="preserve"> US$ and Education loan for 5</w:t>
      </w:r>
      <w:r>
        <w:rPr>
          <w:szCs w:val="22"/>
        </w:rPr>
        <w:t>7</w:t>
      </w:r>
      <w:r w:rsidRPr="004D4CEC">
        <w:rPr>
          <w:color w:val="FF0000"/>
          <w:szCs w:val="22"/>
        </w:rPr>
        <w:t xml:space="preserve"> </w:t>
      </w:r>
      <w:r w:rsidRPr="003D0402">
        <w:rPr>
          <w:szCs w:val="22"/>
        </w:rPr>
        <w:t>members amounted to 1,1</w:t>
      </w:r>
      <w:r>
        <w:rPr>
          <w:szCs w:val="22"/>
        </w:rPr>
        <w:t>31</w:t>
      </w:r>
      <w:r w:rsidRPr="003D0402">
        <w:rPr>
          <w:szCs w:val="22"/>
        </w:rPr>
        <w:t xml:space="preserve"> US$ </w:t>
      </w:r>
      <w:r>
        <w:rPr>
          <w:szCs w:val="22"/>
        </w:rPr>
        <w:t>have been d</w:t>
      </w:r>
      <w:r w:rsidRPr="003D0402">
        <w:rPr>
          <w:szCs w:val="22"/>
        </w:rPr>
        <w:t xml:space="preserve">isbursed </w:t>
      </w:r>
      <w:r>
        <w:rPr>
          <w:szCs w:val="22"/>
        </w:rPr>
        <w:t xml:space="preserve">as of </w:t>
      </w:r>
      <w:r w:rsidRPr="003D0402">
        <w:rPr>
          <w:szCs w:val="22"/>
        </w:rPr>
        <w:t>the reporting period.</w:t>
      </w:r>
    </w:p>
    <w:p w:rsidR="00FA69F9" w:rsidRPr="00CE07D4" w:rsidRDefault="00FA69F9" w:rsidP="00E61345">
      <w:pPr>
        <w:spacing w:before="120" w:after="120" w:line="240" w:lineRule="auto"/>
        <w:jc w:val="both"/>
        <w:rPr>
          <w:szCs w:val="22"/>
        </w:rPr>
      </w:pPr>
      <w:r w:rsidRPr="00CE07D4">
        <w:rPr>
          <w:szCs w:val="22"/>
        </w:rPr>
        <w:t>Loan product</w:t>
      </w:r>
      <w:r w:rsidR="00EE041A" w:rsidRPr="00CE07D4">
        <w:rPr>
          <w:szCs w:val="22"/>
        </w:rPr>
        <w:t xml:space="preserve">s of </w:t>
      </w:r>
      <w:r w:rsidR="004F2B3C" w:rsidRPr="00CE07D4">
        <w:rPr>
          <w:szCs w:val="22"/>
        </w:rPr>
        <w:t>UNDP/PACT</w:t>
      </w:r>
      <w:r w:rsidR="00EE041A" w:rsidRPr="00CE07D4">
        <w:rPr>
          <w:szCs w:val="22"/>
        </w:rPr>
        <w:t xml:space="preserve"> may be reviewed</w:t>
      </w:r>
      <w:r w:rsidR="00E61345" w:rsidRPr="00CE07D4">
        <w:rPr>
          <w:szCs w:val="22"/>
        </w:rPr>
        <w:t xml:space="preserve"> </w:t>
      </w:r>
      <w:r w:rsidR="00EE041A" w:rsidRPr="00CE07D4">
        <w:rPr>
          <w:szCs w:val="22"/>
        </w:rPr>
        <w:t xml:space="preserve">in </w:t>
      </w:r>
      <w:r w:rsidRPr="00CE07D4">
        <w:rPr>
          <w:szCs w:val="22"/>
        </w:rPr>
        <w:t>accord</w:t>
      </w:r>
      <w:r w:rsidR="00EE041A" w:rsidRPr="00CE07D4">
        <w:rPr>
          <w:szCs w:val="22"/>
        </w:rPr>
        <w:t xml:space="preserve">ance </w:t>
      </w:r>
      <w:r w:rsidRPr="00CE07D4">
        <w:rPr>
          <w:szCs w:val="22"/>
        </w:rPr>
        <w:t>to</w:t>
      </w:r>
      <w:r w:rsidR="00E61345" w:rsidRPr="00CE07D4">
        <w:rPr>
          <w:szCs w:val="22"/>
        </w:rPr>
        <w:t xml:space="preserve"> </w:t>
      </w:r>
      <w:r w:rsidR="00EE041A" w:rsidRPr="00CE07D4">
        <w:rPr>
          <w:szCs w:val="22"/>
        </w:rPr>
        <w:t xml:space="preserve">the </w:t>
      </w:r>
      <w:r w:rsidR="00E61345" w:rsidRPr="00CE07D4">
        <w:rPr>
          <w:szCs w:val="22"/>
        </w:rPr>
        <w:t>experience on</w:t>
      </w:r>
      <w:r w:rsidRPr="00CE07D4">
        <w:rPr>
          <w:szCs w:val="22"/>
        </w:rPr>
        <w:t xml:space="preserve"> LIFT monthly coordination </w:t>
      </w:r>
      <w:r w:rsidR="00EE041A" w:rsidRPr="00CE07D4">
        <w:rPr>
          <w:szCs w:val="22"/>
        </w:rPr>
        <w:t xml:space="preserve">meeting. </w:t>
      </w:r>
      <w:r w:rsidRPr="00CE07D4">
        <w:rPr>
          <w:szCs w:val="22"/>
        </w:rPr>
        <w:t xml:space="preserve">For example, Inventory </w:t>
      </w:r>
      <w:r w:rsidR="00EE041A" w:rsidRPr="00CE07D4">
        <w:rPr>
          <w:szCs w:val="22"/>
        </w:rPr>
        <w:t>loans</w:t>
      </w:r>
      <w:r w:rsidRPr="00CE07D4">
        <w:rPr>
          <w:szCs w:val="22"/>
        </w:rPr>
        <w:t>,</w:t>
      </w:r>
      <w:r w:rsidR="00EE041A" w:rsidRPr="00CE07D4">
        <w:rPr>
          <w:szCs w:val="22"/>
        </w:rPr>
        <w:t xml:space="preserve"> housing loans,</w:t>
      </w:r>
      <w:r w:rsidRPr="00CE07D4">
        <w:rPr>
          <w:szCs w:val="22"/>
        </w:rPr>
        <w:t xml:space="preserve"> Hire purchase and group to outside CBO, etc…</w:t>
      </w:r>
    </w:p>
    <w:p w:rsidR="00106AA9" w:rsidRPr="00106AA9" w:rsidRDefault="00106AA9" w:rsidP="00106AA9">
      <w:pPr>
        <w:spacing w:before="120" w:after="120" w:line="240" w:lineRule="auto"/>
        <w:jc w:val="both"/>
        <w:rPr>
          <w:color w:val="FF0000"/>
        </w:rPr>
      </w:pPr>
      <w:r w:rsidRPr="00106AA9">
        <w:t xml:space="preserve">The project has recruited 13,378 clients from those villages as MF members and provided microfinance services during the reporting period. A noticeable point in this indicator was 240 members are Male. PACT usually accepts female members only; however, relaxation in Pact’s methodological system to fulfill the requirement of the poor in those villages resulted in entry of the male members. </w:t>
      </w:r>
    </w:p>
    <w:p w:rsidR="00DF2A4F" w:rsidRPr="00E61345" w:rsidRDefault="00DF2A4F" w:rsidP="00FA69F9">
      <w:pPr>
        <w:spacing w:before="120" w:after="120" w:line="240" w:lineRule="auto"/>
        <w:jc w:val="both"/>
      </w:pPr>
      <w:r w:rsidRPr="00CE07D4">
        <w:t>The very point UNDP/PACT would like to mention is that log frame targets are not consistent with the loan matrix. In the log frame number of clients received loan from the project for year 1 was mentioned as 13,044 clients and the figure is correct. For year II, additional 3,261 clients have to be recruited in accordance to the loan matrix but in the log frame it says the same 13,044 clients have been shown. In fact it should be 16, 305 to be consistent with the loan matrix worksheet. As client numbers were not consistent, other indicators shown in the log frame have to be reviewed.</w:t>
      </w:r>
    </w:p>
    <w:p w:rsidR="003A5CF6" w:rsidRPr="004F2B3C" w:rsidRDefault="003A5CF6" w:rsidP="004F2B3C">
      <w:pPr>
        <w:pBdr>
          <w:bottom w:val="single" w:sz="4" w:space="1" w:color="auto"/>
        </w:pBdr>
        <w:spacing w:before="120" w:after="120" w:line="240" w:lineRule="auto"/>
        <w:jc w:val="both"/>
        <w:rPr>
          <w:b/>
          <w:szCs w:val="22"/>
        </w:rPr>
      </w:pPr>
      <w:r w:rsidRPr="004F2B3C">
        <w:rPr>
          <w:b/>
          <w:szCs w:val="22"/>
        </w:rPr>
        <w:t>Achievement towards target and evaluate progress</w:t>
      </w:r>
    </w:p>
    <w:p w:rsidR="002C56AB" w:rsidRDefault="00801C5A" w:rsidP="002C56AB">
      <w:pPr>
        <w:spacing w:before="120" w:after="120" w:line="240" w:lineRule="auto"/>
        <w:jc w:val="both"/>
        <w:rPr>
          <w:szCs w:val="22"/>
        </w:rPr>
      </w:pPr>
      <w:r w:rsidRPr="002C56AB">
        <w:rPr>
          <w:szCs w:val="22"/>
        </w:rPr>
        <w:t xml:space="preserve">In terms of </w:t>
      </w:r>
      <w:r w:rsidR="00520A0E">
        <w:rPr>
          <w:szCs w:val="22"/>
        </w:rPr>
        <w:t xml:space="preserve">total </w:t>
      </w:r>
      <w:r w:rsidRPr="002C56AB">
        <w:rPr>
          <w:szCs w:val="22"/>
        </w:rPr>
        <w:t xml:space="preserve">number </w:t>
      </w:r>
      <w:r w:rsidR="002D2546" w:rsidRPr="002C56AB">
        <w:rPr>
          <w:szCs w:val="22"/>
        </w:rPr>
        <w:t>of clie</w:t>
      </w:r>
      <w:r w:rsidRPr="002C56AB">
        <w:rPr>
          <w:szCs w:val="22"/>
        </w:rPr>
        <w:t>nts, loans and amount of loan disbursed for agricultural,</w:t>
      </w:r>
      <w:r w:rsidR="002D2546" w:rsidRPr="002C56AB">
        <w:rPr>
          <w:szCs w:val="22"/>
        </w:rPr>
        <w:t xml:space="preserve"> </w:t>
      </w:r>
      <w:r w:rsidRPr="002C56AB">
        <w:rPr>
          <w:szCs w:val="22"/>
        </w:rPr>
        <w:t>livestock</w:t>
      </w:r>
      <w:r w:rsidR="002D2546" w:rsidRPr="002C56AB">
        <w:rPr>
          <w:szCs w:val="22"/>
        </w:rPr>
        <w:t xml:space="preserve"> and </w:t>
      </w:r>
      <w:r w:rsidR="007F2B11" w:rsidRPr="002C56AB">
        <w:rPr>
          <w:szCs w:val="22"/>
        </w:rPr>
        <w:t>off-farm loan</w:t>
      </w:r>
      <w:r w:rsidRPr="002C56AB">
        <w:rPr>
          <w:szCs w:val="22"/>
        </w:rPr>
        <w:t>s</w:t>
      </w:r>
      <w:r w:rsidR="007F2B11" w:rsidRPr="002C56AB">
        <w:rPr>
          <w:szCs w:val="22"/>
        </w:rPr>
        <w:t xml:space="preserve"> </w:t>
      </w:r>
      <w:r w:rsidR="00106AA9" w:rsidRPr="002C56AB">
        <w:rPr>
          <w:szCs w:val="22"/>
        </w:rPr>
        <w:t>have surpassed more than 100</w:t>
      </w:r>
      <w:r w:rsidR="007E0042" w:rsidRPr="002C56AB">
        <w:rPr>
          <w:szCs w:val="22"/>
        </w:rPr>
        <w:t>% of annual milestone target</w:t>
      </w:r>
      <w:r w:rsidR="002C56AB" w:rsidRPr="002C56AB">
        <w:rPr>
          <w:szCs w:val="22"/>
        </w:rPr>
        <w:t>.</w:t>
      </w:r>
      <w:r w:rsidR="002C56AB" w:rsidRPr="002C56AB">
        <w:t xml:space="preserve"> </w:t>
      </w:r>
      <w:r w:rsidR="002C56AB" w:rsidRPr="002C56AB">
        <w:rPr>
          <w:szCs w:val="22"/>
        </w:rPr>
        <w:t>Livestock loan was disbursed</w:t>
      </w:r>
      <w:r w:rsidR="002C56AB" w:rsidRPr="00106AA9">
        <w:rPr>
          <w:szCs w:val="22"/>
        </w:rPr>
        <w:t xml:space="preserve"> more than double to target loans (236%) and about 10 times in terms of amount disbursed.  Livestock breeding business is promising business in Delta. Off-farm loans reached 364% to th</w:t>
      </w:r>
      <w:r w:rsidR="002C56AB">
        <w:rPr>
          <w:szCs w:val="22"/>
        </w:rPr>
        <w:t>e target and 16 t</w:t>
      </w:r>
      <w:r w:rsidR="002C56AB" w:rsidRPr="00106AA9">
        <w:rPr>
          <w:szCs w:val="22"/>
        </w:rPr>
        <w:t>imes to the planned amount of disbursement.</w:t>
      </w:r>
      <w:r w:rsidR="002C56AB">
        <w:rPr>
          <w:szCs w:val="22"/>
        </w:rPr>
        <w:t xml:space="preserve"> </w:t>
      </w:r>
    </w:p>
    <w:p w:rsidR="002C56AB" w:rsidRPr="00E73678" w:rsidRDefault="002C56AB" w:rsidP="002C56AB">
      <w:pPr>
        <w:spacing w:before="120" w:after="120" w:line="240" w:lineRule="auto"/>
        <w:jc w:val="both"/>
        <w:rPr>
          <w:color w:val="FF0000"/>
        </w:rPr>
      </w:pPr>
      <w:r>
        <w:t>In terms of new loan disbursement, PACT</w:t>
      </w:r>
      <w:r w:rsidRPr="009F0B24">
        <w:t xml:space="preserve"> provided a total of </w:t>
      </w:r>
      <w:r>
        <w:t>506</w:t>
      </w:r>
      <w:r w:rsidRPr="00E73678">
        <w:rPr>
          <w:color w:val="FF0000"/>
        </w:rPr>
        <w:t xml:space="preserve"> </w:t>
      </w:r>
      <w:r w:rsidRPr="001B64D3">
        <w:t xml:space="preserve">agriculture loans during the reporting period making </w:t>
      </w:r>
      <w:r>
        <w:t>78</w:t>
      </w:r>
      <w:r w:rsidRPr="00E73678">
        <w:rPr>
          <w:color w:val="FF0000"/>
        </w:rPr>
        <w:t xml:space="preserve"> </w:t>
      </w:r>
      <w:r w:rsidRPr="001B64D3">
        <w:t xml:space="preserve">% of the year II target of 652 </w:t>
      </w:r>
      <w:r>
        <w:t xml:space="preserve">new </w:t>
      </w:r>
      <w:r w:rsidRPr="001B64D3">
        <w:t>farmers.</w:t>
      </w:r>
      <w:r>
        <w:t xml:space="preserve"> </w:t>
      </w:r>
      <w:r w:rsidRPr="00141D17">
        <w:t xml:space="preserve">In value terms, the amount disbursed for the agriculture loans </w:t>
      </w:r>
      <w:r w:rsidRPr="00C21542">
        <w:t>reached 48% of the targeted amount of USD 332,556</w:t>
      </w:r>
      <w:r>
        <w:t>, which is USD 160,882</w:t>
      </w:r>
      <w:r w:rsidRPr="00C21542">
        <w:t>.</w:t>
      </w:r>
      <w:r w:rsidRPr="00E73678">
        <w:rPr>
          <w:color w:val="FF0000"/>
        </w:rPr>
        <w:t xml:space="preserve"> </w:t>
      </w:r>
      <w:r w:rsidRPr="00B13229">
        <w:t>Generally summer paddy season started from December and ends at about</w:t>
      </w:r>
      <w:r>
        <w:t xml:space="preserve"> January. In real terms,</w:t>
      </w:r>
      <w:r w:rsidRPr="00B13229">
        <w:t xml:space="preserve"> </w:t>
      </w:r>
      <w:r>
        <w:t>l</w:t>
      </w:r>
      <w:r w:rsidRPr="00B13229">
        <w:t xml:space="preserve">oan disbursement </w:t>
      </w:r>
      <w:r>
        <w:t>for summer paddy will</w:t>
      </w:r>
      <w:r w:rsidRPr="00B13229">
        <w:t xml:space="preserve"> be </w:t>
      </w:r>
      <w:r>
        <w:t xml:space="preserve">postponed to early part of 2014 as demand of this loan shifted to Jan, 2014. </w:t>
      </w:r>
      <w:r w:rsidRPr="00B13229">
        <w:t>Livestock and fishery loans were disbursed during the reporting period</w:t>
      </w:r>
      <w:r>
        <w:t>, and</w:t>
      </w:r>
      <w:r w:rsidRPr="00B13229">
        <w:t xml:space="preserve"> 1,918 loans were given to newly recruited clients. Planned target for livestock loans was 977, and </w:t>
      </w:r>
      <w:r>
        <w:t>PACT</w:t>
      </w:r>
      <w:r w:rsidRPr="00E73678">
        <w:rPr>
          <w:color w:val="FF0000"/>
        </w:rPr>
        <w:t xml:space="preserve"> </w:t>
      </w:r>
      <w:r w:rsidRPr="00B13229">
        <w:t xml:space="preserve">provided 1,918 loans making </w:t>
      </w:r>
      <w:r>
        <w:t>196</w:t>
      </w:r>
      <w:r w:rsidRPr="00B13229">
        <w:t xml:space="preserve">% of year II log frame target. Loan amount disbursed was USD 348,897 in US$ against the target of </w:t>
      </w:r>
      <w:r>
        <w:t xml:space="preserve">179,697 </w:t>
      </w:r>
      <w:r w:rsidRPr="00B13229">
        <w:t>US$</w:t>
      </w:r>
      <w:r>
        <w:t>.</w:t>
      </w:r>
      <w:r w:rsidRPr="00E73678">
        <w:rPr>
          <w:color w:val="FF0000"/>
        </w:rPr>
        <w:t xml:space="preserve"> </w:t>
      </w:r>
      <w:r w:rsidRPr="0003756C">
        <w:t>The same over the target achievement was made for off-farm loans that had a target of</w:t>
      </w:r>
      <w:r w:rsidRPr="00E73678">
        <w:rPr>
          <w:color w:val="FF0000"/>
        </w:rPr>
        <w:t xml:space="preserve"> </w:t>
      </w:r>
      <w:r w:rsidRPr="0003756C">
        <w:t>1,470 loans</w:t>
      </w:r>
      <w:r>
        <w:t xml:space="preserve"> for Year II period and</w:t>
      </w:r>
      <w:r w:rsidRPr="0003756C">
        <w:t xml:space="preserve"> </w:t>
      </w:r>
      <w:r>
        <w:t>PACT</w:t>
      </w:r>
      <w:r w:rsidRPr="0003756C">
        <w:t xml:space="preserve"> provided</w:t>
      </w:r>
      <w:r w:rsidRPr="00E73678">
        <w:rPr>
          <w:color w:val="FF0000"/>
        </w:rPr>
        <w:t xml:space="preserve"> </w:t>
      </w:r>
      <w:r w:rsidRPr="0003756C">
        <w:t xml:space="preserve">2,605 loans making 176% in achievement. The amount disbursed for off-farm loans was 474,340 US$ making 1.76 times of the target.  </w:t>
      </w:r>
    </w:p>
    <w:p w:rsidR="002C56AB" w:rsidRPr="00106AA9" w:rsidRDefault="002C56AB" w:rsidP="002C56AB">
      <w:pPr>
        <w:spacing w:before="120" w:after="120" w:line="240" w:lineRule="auto"/>
        <w:jc w:val="both"/>
        <w:rPr>
          <w:szCs w:val="22"/>
        </w:rPr>
      </w:pPr>
    </w:p>
    <w:p w:rsidR="00C52053" w:rsidRPr="003A3E54" w:rsidRDefault="003613F9" w:rsidP="00E11842">
      <w:pPr>
        <w:snapToGrid w:val="0"/>
        <w:spacing w:before="120" w:after="120" w:line="240" w:lineRule="auto"/>
      </w:pPr>
      <w:r w:rsidRPr="00E5777F">
        <w:rPr>
          <w:b/>
          <w:szCs w:val="22"/>
          <w:u w:val="single"/>
        </w:rPr>
        <w:t>OUTPUT 3:</w:t>
      </w:r>
    </w:p>
    <w:p w:rsidR="003613F9" w:rsidRPr="003A3E54" w:rsidRDefault="003613F9" w:rsidP="00E11842">
      <w:pPr>
        <w:snapToGrid w:val="0"/>
        <w:spacing w:before="120" w:after="120" w:line="240" w:lineRule="auto"/>
        <w:jc w:val="both"/>
        <w:rPr>
          <w:b/>
        </w:rPr>
      </w:pPr>
      <w:r w:rsidRPr="003A3E54">
        <w:rPr>
          <w:b/>
        </w:rPr>
        <w:t xml:space="preserve">Lessons learned documented through impact assessment of the program and disseminated among microfinance service providers, development agencies and </w:t>
      </w:r>
      <w:r w:rsidR="00DA70D8" w:rsidRPr="003A3E54">
        <w:rPr>
          <w:b/>
        </w:rPr>
        <w:t xml:space="preserve">government </w:t>
      </w:r>
      <w:r w:rsidRPr="003A3E54">
        <w:rPr>
          <w:b/>
        </w:rPr>
        <w:t>policy makers.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2072"/>
        <w:gridCol w:w="2934"/>
      </w:tblGrid>
      <w:tr w:rsidR="00097E80" w:rsidRPr="00FA69F9" w:rsidTr="00DF2A4F">
        <w:trPr>
          <w:trHeight w:val="1446"/>
          <w:jc w:val="center"/>
        </w:trPr>
        <w:tc>
          <w:tcPr>
            <w:tcW w:w="4668" w:type="dxa"/>
            <w:tcBorders>
              <w:top w:val="single" w:sz="4" w:space="0" w:color="000000"/>
              <w:left w:val="single" w:sz="4" w:space="0" w:color="000000"/>
              <w:bottom w:val="single" w:sz="4" w:space="0" w:color="000000"/>
              <w:right w:val="single" w:sz="4" w:space="0" w:color="000000"/>
            </w:tcBorders>
          </w:tcPr>
          <w:p w:rsidR="008D21D6" w:rsidRPr="003A3E54" w:rsidRDefault="002C7ECE" w:rsidP="00E11842">
            <w:pPr>
              <w:snapToGrid w:val="0"/>
              <w:spacing w:before="120" w:after="120" w:line="240" w:lineRule="auto"/>
              <w:rPr>
                <w:bCs/>
                <w:szCs w:val="22"/>
              </w:rPr>
            </w:pPr>
            <w:r w:rsidRPr="003A3E54">
              <w:rPr>
                <w:bCs/>
                <w:szCs w:val="22"/>
              </w:rPr>
              <w:t xml:space="preserve">INDICATOR 1: </w:t>
            </w:r>
          </w:p>
          <w:p w:rsidR="00724483" w:rsidRPr="003A3E54" w:rsidRDefault="00724483" w:rsidP="00E11842">
            <w:pPr>
              <w:snapToGrid w:val="0"/>
              <w:spacing w:before="120" w:after="120" w:line="240" w:lineRule="auto"/>
              <w:rPr>
                <w:bCs/>
                <w:szCs w:val="22"/>
              </w:rPr>
            </w:pPr>
          </w:p>
          <w:p w:rsidR="002C7ECE" w:rsidRPr="003A3E54" w:rsidRDefault="002C7ECE" w:rsidP="00E11842">
            <w:pPr>
              <w:snapToGrid w:val="0"/>
              <w:spacing w:before="120" w:after="120" w:line="240" w:lineRule="auto"/>
              <w:rPr>
                <w:bCs/>
                <w:szCs w:val="22"/>
              </w:rPr>
            </w:pPr>
            <w:r w:rsidRPr="003A3E54">
              <w:rPr>
                <w:bCs/>
                <w:szCs w:val="22"/>
              </w:rPr>
              <w:t>Number of impact assessment study conducted and assessment report produced</w:t>
            </w:r>
          </w:p>
        </w:tc>
        <w:tc>
          <w:tcPr>
            <w:tcW w:w="2072" w:type="dxa"/>
            <w:tcBorders>
              <w:top w:val="single" w:sz="4" w:space="0" w:color="000000"/>
              <w:left w:val="single" w:sz="4" w:space="0" w:color="000000"/>
              <w:bottom w:val="single" w:sz="4" w:space="0" w:color="000000"/>
              <w:right w:val="single" w:sz="4" w:space="0" w:color="000000"/>
            </w:tcBorders>
          </w:tcPr>
          <w:p w:rsidR="002C7ECE" w:rsidRPr="003A3E54" w:rsidRDefault="002C7ECE" w:rsidP="00E11842">
            <w:pPr>
              <w:snapToGrid w:val="0"/>
              <w:spacing w:before="120" w:after="120" w:line="240" w:lineRule="auto"/>
              <w:rPr>
                <w:bCs/>
                <w:szCs w:val="22"/>
              </w:rPr>
            </w:pPr>
            <w:r w:rsidRPr="003A3E54">
              <w:rPr>
                <w:bCs/>
                <w:szCs w:val="22"/>
              </w:rPr>
              <w:t xml:space="preserve">MILESTONE/TARGET </w:t>
            </w:r>
            <w:r w:rsidR="008D21D6" w:rsidRPr="003A3E54">
              <w:rPr>
                <w:bCs/>
                <w:szCs w:val="22"/>
              </w:rPr>
              <w:t>201</w:t>
            </w:r>
            <w:r w:rsidR="00CF234C" w:rsidRPr="003A3E54">
              <w:rPr>
                <w:bCs/>
                <w:szCs w:val="22"/>
              </w:rPr>
              <w:t>3</w:t>
            </w:r>
            <w:r w:rsidRPr="003A3E54">
              <w:rPr>
                <w:bCs/>
                <w:szCs w:val="22"/>
              </w:rPr>
              <w:t xml:space="preserve">: </w:t>
            </w:r>
          </w:p>
          <w:p w:rsidR="002C7ECE" w:rsidRPr="003A3E54" w:rsidRDefault="002C7ECE" w:rsidP="00497EA4">
            <w:pPr>
              <w:snapToGrid w:val="0"/>
              <w:spacing w:before="120" w:after="120" w:line="240" w:lineRule="auto"/>
              <w:jc w:val="center"/>
              <w:rPr>
                <w:bCs/>
                <w:szCs w:val="22"/>
              </w:rPr>
            </w:pPr>
            <w:r w:rsidRPr="003A3E54">
              <w:rPr>
                <w:bCs/>
                <w:szCs w:val="22"/>
              </w:rPr>
              <w:t>1</w:t>
            </w:r>
          </w:p>
        </w:tc>
        <w:tc>
          <w:tcPr>
            <w:tcW w:w="2934" w:type="dxa"/>
            <w:tcBorders>
              <w:top w:val="single" w:sz="4" w:space="0" w:color="000000"/>
              <w:left w:val="single" w:sz="4" w:space="0" w:color="000000"/>
              <w:bottom w:val="single" w:sz="4" w:space="0" w:color="000000"/>
              <w:right w:val="single" w:sz="4" w:space="0" w:color="000000"/>
            </w:tcBorders>
          </w:tcPr>
          <w:p w:rsidR="008D21D6" w:rsidRPr="003A3E54" w:rsidRDefault="004C41DF">
            <w:pPr>
              <w:snapToGrid w:val="0"/>
              <w:spacing w:before="120" w:after="120" w:line="240" w:lineRule="auto"/>
              <w:rPr>
                <w:bCs/>
                <w:szCs w:val="22"/>
              </w:rPr>
            </w:pPr>
            <w:r w:rsidRPr="003A3E54">
              <w:rPr>
                <w:bCs/>
                <w:szCs w:val="22"/>
              </w:rPr>
              <w:t>A</w:t>
            </w:r>
            <w:r w:rsidR="00024C47" w:rsidRPr="003A3E54">
              <w:rPr>
                <w:bCs/>
                <w:szCs w:val="22"/>
              </w:rPr>
              <w:t xml:space="preserve">CCOMPLISHMENT at the end of </w:t>
            </w:r>
            <w:r w:rsidR="005A0CF4">
              <w:rPr>
                <w:bCs/>
                <w:szCs w:val="22"/>
              </w:rPr>
              <w:t>Dec</w:t>
            </w:r>
            <w:r w:rsidRPr="003A3E54">
              <w:rPr>
                <w:bCs/>
                <w:szCs w:val="22"/>
              </w:rPr>
              <w:t xml:space="preserve"> 201</w:t>
            </w:r>
            <w:r w:rsidR="00CF234C" w:rsidRPr="003A3E54">
              <w:rPr>
                <w:bCs/>
                <w:szCs w:val="22"/>
              </w:rPr>
              <w:t>3</w:t>
            </w:r>
            <w:r w:rsidRPr="003A3E54">
              <w:rPr>
                <w:bCs/>
                <w:szCs w:val="22"/>
              </w:rPr>
              <w:t>:</w:t>
            </w:r>
          </w:p>
          <w:p w:rsidR="00247DA6" w:rsidRDefault="005A0CF4" w:rsidP="00EE041A">
            <w:pPr>
              <w:snapToGrid w:val="0"/>
              <w:spacing w:before="120" w:after="120" w:line="240" w:lineRule="auto"/>
              <w:jc w:val="center"/>
              <w:rPr>
                <w:bCs/>
                <w:szCs w:val="22"/>
              </w:rPr>
            </w:pPr>
            <w:r>
              <w:rPr>
                <w:bCs/>
                <w:szCs w:val="22"/>
              </w:rPr>
              <w:t>N</w:t>
            </w:r>
            <w:r w:rsidR="00EE041A">
              <w:rPr>
                <w:bCs/>
                <w:szCs w:val="22"/>
              </w:rPr>
              <w:t>il</w:t>
            </w:r>
          </w:p>
          <w:p w:rsidR="005A0CF4" w:rsidRPr="003A3E54" w:rsidRDefault="005A0CF4" w:rsidP="00EE041A">
            <w:pPr>
              <w:snapToGrid w:val="0"/>
              <w:spacing w:before="120" w:after="120" w:line="240" w:lineRule="auto"/>
              <w:jc w:val="center"/>
              <w:rPr>
                <w:bCs/>
                <w:szCs w:val="22"/>
              </w:rPr>
            </w:pPr>
            <w:r>
              <w:rPr>
                <w:bCs/>
                <w:szCs w:val="22"/>
              </w:rPr>
              <w:t>Internal quick study</w:t>
            </w:r>
          </w:p>
          <w:p w:rsidR="002C7ECE" w:rsidRPr="003A3E54" w:rsidRDefault="00247DA6" w:rsidP="00DF2A4F">
            <w:pPr>
              <w:snapToGrid w:val="0"/>
              <w:spacing w:before="120" w:after="120" w:line="240" w:lineRule="auto"/>
              <w:rPr>
                <w:bCs/>
                <w:szCs w:val="22"/>
              </w:rPr>
            </w:pPr>
            <w:r w:rsidRPr="003A3E54">
              <w:rPr>
                <w:bCs/>
                <w:szCs w:val="22"/>
              </w:rPr>
              <w:t xml:space="preserve"> </w:t>
            </w:r>
          </w:p>
        </w:tc>
      </w:tr>
    </w:tbl>
    <w:p w:rsidR="00520A0E" w:rsidRDefault="00520A0E" w:rsidP="00E11842">
      <w:pPr>
        <w:pBdr>
          <w:bottom w:val="single" w:sz="4" w:space="1" w:color="auto"/>
        </w:pBdr>
        <w:spacing w:before="120" w:after="120" w:line="240" w:lineRule="auto"/>
        <w:rPr>
          <w:b/>
          <w:szCs w:val="22"/>
        </w:rPr>
      </w:pPr>
    </w:p>
    <w:p w:rsidR="003613F9" w:rsidRPr="003A3E54" w:rsidRDefault="003613F9" w:rsidP="00E11842">
      <w:pPr>
        <w:pBdr>
          <w:bottom w:val="single" w:sz="4" w:space="1" w:color="auto"/>
        </w:pBdr>
        <w:spacing w:before="120" w:after="120" w:line="240" w:lineRule="auto"/>
        <w:rPr>
          <w:b/>
          <w:szCs w:val="22"/>
        </w:rPr>
      </w:pPr>
      <w:r w:rsidRPr="003A3E54">
        <w:rPr>
          <w:b/>
          <w:szCs w:val="22"/>
        </w:rPr>
        <w:lastRenderedPageBreak/>
        <w:t>Activities completed during reporting period</w:t>
      </w:r>
    </w:p>
    <w:p w:rsidR="003613F9" w:rsidRDefault="00756F9B" w:rsidP="00E11842">
      <w:pPr>
        <w:spacing w:before="120" w:after="120" w:line="240" w:lineRule="auto"/>
        <w:rPr>
          <w:szCs w:val="22"/>
        </w:rPr>
      </w:pPr>
      <w:r w:rsidRPr="003A3E54">
        <w:rPr>
          <w:szCs w:val="22"/>
        </w:rPr>
        <w:t>Impact assessment study will be conducted end of the project period, FY 2014</w:t>
      </w:r>
      <w:r w:rsidR="004552A4" w:rsidRPr="003A3E54">
        <w:rPr>
          <w:szCs w:val="22"/>
        </w:rPr>
        <w:t>,</w:t>
      </w:r>
      <w:r w:rsidRPr="003A3E54">
        <w:rPr>
          <w:szCs w:val="22"/>
        </w:rPr>
        <w:t xml:space="preserve"> as this study would be done </w:t>
      </w:r>
      <w:r w:rsidR="004552A4" w:rsidRPr="003A3E54">
        <w:rPr>
          <w:szCs w:val="22"/>
        </w:rPr>
        <w:t xml:space="preserve">once in </w:t>
      </w:r>
      <w:r w:rsidRPr="003A3E54">
        <w:rPr>
          <w:szCs w:val="22"/>
        </w:rPr>
        <w:t>3 years</w:t>
      </w:r>
      <w:r w:rsidR="003A3E54" w:rsidRPr="003A3E54">
        <w:rPr>
          <w:szCs w:val="22"/>
        </w:rPr>
        <w:t xml:space="preserve">’ time. </w:t>
      </w:r>
    </w:p>
    <w:p w:rsidR="00E00CFF" w:rsidRPr="003A3E54" w:rsidRDefault="00DF4E4A" w:rsidP="00E11842">
      <w:pPr>
        <w:pBdr>
          <w:bottom w:val="single" w:sz="4" w:space="1" w:color="auto"/>
        </w:pBdr>
        <w:spacing w:before="120" w:after="120" w:line="240" w:lineRule="auto"/>
        <w:rPr>
          <w:b/>
        </w:rPr>
      </w:pPr>
      <w:r w:rsidRPr="003A3E54">
        <w:rPr>
          <w:b/>
        </w:rPr>
        <w:t>Comments on achievements in capacity building of local NGOs, CSOs and /or beneficiaries</w:t>
      </w:r>
    </w:p>
    <w:p w:rsidR="006C54B5" w:rsidRPr="00A76143" w:rsidRDefault="006C54B5" w:rsidP="00DF2A4F">
      <w:pPr>
        <w:jc w:val="both"/>
      </w:pPr>
      <w:r w:rsidRPr="00A76143">
        <w:t xml:space="preserve">PACT microfinance methodology is designed to provide credit along with some capacity building awareness. The group formation for credit disbursement starts with the process of group formation and providing training of rules, regulation and awareness on how to start a business and manage credit/investment money and use of profit and savings known as Non Formal Business Education (NFBE). </w:t>
      </w:r>
    </w:p>
    <w:p w:rsidR="006C54B5" w:rsidRPr="00A76143" w:rsidRDefault="006C54B5" w:rsidP="006C54B5">
      <w:pPr>
        <w:spacing w:before="120" w:after="120" w:line="240" w:lineRule="auto"/>
        <w:jc w:val="both"/>
      </w:pPr>
      <w:r w:rsidRPr="00A76143">
        <w:t xml:space="preserve">During the reporting period, a total of </w:t>
      </w:r>
      <w:r w:rsidR="00B85333">
        <w:t>4,965</w:t>
      </w:r>
      <w:r w:rsidRPr="00A76143">
        <w:t xml:space="preserve"> clients went through the training on NFBE and after the completion of the training, potential clients were organized in self-selected small groups of five and then these village-based small groups formed village level centers as the primary unit of the project. These centers will manage their activities such as village-level client selection, loan amount, loan priority of the clients and repayment guarantee. These center leaders received center management training; roles and responsibility training in due course of the project implementation.</w:t>
      </w:r>
    </w:p>
    <w:p w:rsidR="00874779" w:rsidRPr="00A76143" w:rsidRDefault="00DF4E4A" w:rsidP="00DF4E4A">
      <w:pPr>
        <w:pBdr>
          <w:bottom w:val="single" w:sz="4" w:space="1" w:color="auto"/>
        </w:pBdr>
        <w:spacing w:before="120" w:after="120" w:line="240" w:lineRule="auto"/>
        <w:rPr>
          <w:b/>
        </w:rPr>
      </w:pPr>
      <w:r w:rsidRPr="00A76143">
        <w:rPr>
          <w:b/>
        </w:rPr>
        <w:t>E</w:t>
      </w:r>
      <w:r w:rsidR="003307B5" w:rsidRPr="00A76143">
        <w:rPr>
          <w:b/>
        </w:rPr>
        <w:t>ffective</w:t>
      </w:r>
      <w:r w:rsidRPr="00A76143">
        <w:rPr>
          <w:b/>
        </w:rPr>
        <w:t>ness of</w:t>
      </w:r>
      <w:r w:rsidR="003307B5" w:rsidRPr="00A76143">
        <w:rPr>
          <w:b/>
        </w:rPr>
        <w:t xml:space="preserve"> risk management and what kind of foreseen risks actually occurred</w:t>
      </w:r>
    </w:p>
    <w:p w:rsidR="00DF4E4A" w:rsidRDefault="006F1743" w:rsidP="006F1743">
      <w:pPr>
        <w:jc w:val="both"/>
      </w:pPr>
      <w:r>
        <w:t>T</w:t>
      </w:r>
      <w:r w:rsidR="00DF4E4A" w:rsidRPr="00A76143">
        <w:t xml:space="preserve">able </w:t>
      </w:r>
      <w:r w:rsidR="001B4111">
        <w:t>(3</w:t>
      </w:r>
      <w:r>
        <w:t xml:space="preserve">) </w:t>
      </w:r>
      <w:r w:rsidR="00DF4E4A" w:rsidRPr="00A76143">
        <w:t>shows</w:t>
      </w:r>
      <w:r w:rsidR="00B524E5" w:rsidRPr="00A76143">
        <w:t xml:space="preserve"> type of risk, identified date, description and how to mitigate the risk and the possible degrees of impact due the risk. So far, there have been 4 types of risk in form of institution, legal, environmental and macro-economics.  </w:t>
      </w:r>
    </w:p>
    <w:p w:rsidR="001648A5" w:rsidRPr="00A76143" w:rsidRDefault="001648A5" w:rsidP="001648A5">
      <w:pPr>
        <w:pBdr>
          <w:bottom w:val="single" w:sz="4" w:space="1" w:color="auto"/>
        </w:pBdr>
        <w:spacing w:before="120" w:after="120" w:line="240" w:lineRule="auto"/>
        <w:rPr>
          <w:b/>
        </w:rPr>
      </w:pPr>
      <w:r w:rsidRPr="00A76143">
        <w:rPr>
          <w:b/>
        </w:rPr>
        <w:t>Information on kind of risk as well as probability and impact of the risk</w:t>
      </w:r>
    </w:p>
    <w:p w:rsidR="001648A5" w:rsidRPr="00A76143" w:rsidRDefault="001648A5" w:rsidP="001648A5">
      <w:pPr>
        <w:pStyle w:val="ListParagraph"/>
        <w:numPr>
          <w:ilvl w:val="0"/>
          <w:numId w:val="2"/>
        </w:numPr>
        <w:spacing w:before="120" w:after="120" w:line="240" w:lineRule="auto"/>
        <w:contextualSpacing w:val="0"/>
        <w:jc w:val="both"/>
      </w:pPr>
      <w:r w:rsidRPr="00A76143">
        <w:t>There are some risks of non-repayment as a result of agriculture loan default in the Delta region in past years that happened to the agriculture input trading companies.</w:t>
      </w:r>
    </w:p>
    <w:p w:rsidR="001648A5" w:rsidRPr="00A76143" w:rsidRDefault="001648A5" w:rsidP="001648A5">
      <w:pPr>
        <w:pStyle w:val="ListParagraph"/>
        <w:numPr>
          <w:ilvl w:val="0"/>
          <w:numId w:val="2"/>
        </w:numPr>
        <w:spacing w:before="120" w:after="120" w:line="240" w:lineRule="auto"/>
        <w:contextualSpacing w:val="0"/>
        <w:jc w:val="both"/>
      </w:pPr>
      <w:r w:rsidRPr="00A76143">
        <w:t>From the risk matrix of the proposal, the (serial no. 5) fluctuation of exchange rate is mov</w:t>
      </w:r>
      <w:r w:rsidR="00A76143" w:rsidRPr="00A76143">
        <w:t>ing upward (from K 800 to K 980</w:t>
      </w:r>
      <w:r w:rsidRPr="00A76143">
        <w:t xml:space="preserve"> per 1 US$), thus the loan ceiling will not be affected in the short-run and farmers will have a higher ceiling. </w:t>
      </w:r>
    </w:p>
    <w:p w:rsidR="001648A5" w:rsidRPr="00A76143" w:rsidRDefault="001648A5" w:rsidP="001648A5">
      <w:pPr>
        <w:pStyle w:val="ListParagraph"/>
        <w:numPr>
          <w:ilvl w:val="0"/>
          <w:numId w:val="2"/>
        </w:numPr>
        <w:spacing w:before="120" w:after="120" w:line="240" w:lineRule="auto"/>
        <w:contextualSpacing w:val="0"/>
        <w:jc w:val="both"/>
      </w:pPr>
      <w:r w:rsidRPr="00A76143">
        <w:t>High rate of dorman</w:t>
      </w:r>
      <w:r w:rsidR="00316BB9">
        <w:t>cy</w:t>
      </w:r>
      <w:r w:rsidRPr="00A76143">
        <w:t xml:space="preserve"> and dropout due to lack of job opportunities in Delta could be</w:t>
      </w:r>
      <w:r w:rsidR="00316BB9">
        <w:t xml:space="preserve"> a</w:t>
      </w:r>
      <w:r w:rsidRPr="00A76143">
        <w:t xml:space="preserve"> potential risk to program sustainability.  </w:t>
      </w:r>
    </w:p>
    <w:p w:rsidR="00875398" w:rsidRPr="00F33D54" w:rsidRDefault="001648A5" w:rsidP="00253C1A">
      <w:pPr>
        <w:pStyle w:val="ListParagraph"/>
        <w:numPr>
          <w:ilvl w:val="0"/>
          <w:numId w:val="2"/>
        </w:numPr>
        <w:spacing w:before="120" w:after="120" w:line="240" w:lineRule="auto"/>
        <w:contextualSpacing w:val="0"/>
        <w:jc w:val="both"/>
        <w:rPr>
          <w:b/>
        </w:rPr>
      </w:pPr>
      <w:r w:rsidRPr="00A76143">
        <w:t>Besides the above mentioned risk factors others risk factors remain unchanged. Some mitigation strategies have been updated to reflect the current situation.</w:t>
      </w:r>
    </w:p>
    <w:p w:rsidR="00F33D54" w:rsidRDefault="00F33D54" w:rsidP="00F33D54">
      <w:pPr>
        <w:spacing w:before="120" w:after="120" w:line="240" w:lineRule="auto"/>
        <w:jc w:val="both"/>
        <w:rPr>
          <w:b/>
        </w:rPr>
      </w:pPr>
    </w:p>
    <w:p w:rsidR="003307B5" w:rsidRPr="00A76143" w:rsidRDefault="00007D55" w:rsidP="00945967">
      <w:pPr>
        <w:pBdr>
          <w:bottom w:val="single" w:sz="4" w:space="1" w:color="auto"/>
        </w:pBdr>
        <w:spacing w:before="120" w:after="120" w:line="240" w:lineRule="auto"/>
        <w:jc w:val="both"/>
        <w:rPr>
          <w:b/>
        </w:rPr>
      </w:pPr>
      <w:r w:rsidRPr="00007D55">
        <w:rPr>
          <w:b/>
          <w:color w:val="548DD4" w:themeColor="text2" w:themeTint="99"/>
        </w:rPr>
        <w:t xml:space="preserve"> </w:t>
      </w:r>
      <w:r w:rsidR="006E463F" w:rsidRPr="00A76143">
        <w:rPr>
          <w:b/>
        </w:rPr>
        <w:t>Efforts and results in view of the sustainability of outputs and outcomes</w:t>
      </w:r>
    </w:p>
    <w:p w:rsidR="001C3BFD" w:rsidRDefault="001C3BFD" w:rsidP="001C3BFD">
      <w:pPr>
        <w:spacing w:before="120" w:after="120" w:line="240" w:lineRule="auto"/>
        <w:jc w:val="both"/>
      </w:pPr>
      <w:r w:rsidRPr="00A76143">
        <w:t xml:space="preserve">The MF Project is designed for self-sustainability from the interest income. The LIFT-funded Delta II MF is a component of the ongoing MFP, which is already self-sustaining with an operating Self Sustainability ratio of </w:t>
      </w:r>
      <w:r w:rsidR="00B85333">
        <w:t>149.91</w:t>
      </w:r>
      <w:r w:rsidRPr="00AD7FE3">
        <w:rPr>
          <w:color w:val="FF0000"/>
        </w:rPr>
        <w:t xml:space="preserve"> </w:t>
      </w:r>
      <w:r w:rsidRPr="00A76143">
        <w:t xml:space="preserve">percent at the end of </w:t>
      </w:r>
      <w:r w:rsidR="00B85333">
        <w:t>December</w:t>
      </w:r>
      <w:r w:rsidRPr="00A76143">
        <w:t>. As part of the sustainable MF program, the project will be continuing all the services according to proposal in the near future.</w:t>
      </w:r>
      <w:r w:rsidR="001648A5" w:rsidRPr="00A76143">
        <w:t xml:space="preserve"> Sustainability ratio for Delta region is mentioned in the following table whereby long termed financial sustainability ratio has been calculated on the basis of </w:t>
      </w:r>
      <w:r w:rsidR="00A76143" w:rsidRPr="00A76143">
        <w:t>1</w:t>
      </w:r>
      <w:r w:rsidR="001648A5" w:rsidRPr="00A76143">
        <w:t>5% inflation rate</w:t>
      </w:r>
      <w:r w:rsidR="00A76143" w:rsidRPr="00A76143">
        <w:t xml:space="preserve"> and 1</w:t>
      </w:r>
      <w:r w:rsidR="00B85333">
        <w:t>2</w:t>
      </w:r>
      <w:r w:rsidR="00A76143" w:rsidRPr="00A76143">
        <w:t>% of cost of capital assuming that loan funds might have been charged at 15% annual interest rate</w:t>
      </w:r>
      <w:r w:rsidR="001648A5" w:rsidRPr="00A76143">
        <w:t xml:space="preserve">. The inflation rate was used </w:t>
      </w:r>
      <w:r w:rsidR="001648A5" w:rsidRPr="00B85333">
        <w:t xml:space="preserve">as </w:t>
      </w:r>
      <w:r w:rsidR="00A2014C" w:rsidRPr="00B85333">
        <w:t>1</w:t>
      </w:r>
      <w:r w:rsidR="00B85333" w:rsidRPr="00B85333">
        <w:t>5</w:t>
      </w:r>
      <w:r w:rsidR="001648A5" w:rsidRPr="00B85333">
        <w:t>% for the</w:t>
      </w:r>
      <w:r w:rsidR="001648A5" w:rsidRPr="00A76143">
        <w:t xml:space="preserve"> year. </w:t>
      </w:r>
      <w:r w:rsidR="00D35625">
        <w:t xml:space="preserve"> While the official rate may be lower, </w:t>
      </w:r>
      <w:r w:rsidR="004F2B3C">
        <w:t>UNDP/PACT</w:t>
      </w:r>
      <w:r w:rsidR="00D35625">
        <w:t xml:space="preserve"> prefers to take a conservative approach</w:t>
      </w:r>
      <w:r w:rsidR="001648A5" w:rsidRPr="00A76143">
        <w:t>.</w:t>
      </w:r>
      <w:r w:rsidR="00A41678">
        <w:t xml:space="preserve"> </w:t>
      </w:r>
    </w:p>
    <w:p w:rsidR="005A0CF4" w:rsidRPr="00A76143" w:rsidRDefault="005A0CF4" w:rsidP="001C3BFD">
      <w:pPr>
        <w:spacing w:before="120" w:after="120" w:line="240" w:lineRule="auto"/>
        <w:jc w:val="both"/>
      </w:pPr>
    </w:p>
    <w:tbl>
      <w:tblPr>
        <w:tblW w:w="540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5"/>
        <w:gridCol w:w="1029"/>
      </w:tblGrid>
      <w:tr w:rsidR="00AD7FE3" w:rsidRPr="00AD7FE3" w:rsidTr="00A76143">
        <w:trPr>
          <w:trHeight w:val="296"/>
        </w:trPr>
        <w:tc>
          <w:tcPr>
            <w:tcW w:w="4375" w:type="dxa"/>
            <w:shd w:val="clear" w:color="auto" w:fill="auto"/>
            <w:vAlign w:val="center"/>
          </w:tcPr>
          <w:p w:rsidR="001648A5" w:rsidRPr="00A76143" w:rsidRDefault="001648A5" w:rsidP="00B73B53">
            <w:pPr>
              <w:spacing w:after="0" w:line="240" w:lineRule="auto"/>
              <w:jc w:val="center"/>
              <w:rPr>
                <w:rFonts w:ascii="Garamond" w:hAnsi="Garamond" w:cs="Calibri"/>
                <w:b/>
                <w:bCs/>
              </w:rPr>
            </w:pPr>
            <w:r w:rsidRPr="00A76143">
              <w:rPr>
                <w:rFonts w:ascii="Garamond" w:hAnsi="Garamond" w:cs="Calibri"/>
                <w:b/>
                <w:bCs/>
              </w:rPr>
              <w:t>Financial Indicators</w:t>
            </w:r>
          </w:p>
        </w:tc>
        <w:tc>
          <w:tcPr>
            <w:tcW w:w="1029" w:type="dxa"/>
            <w:shd w:val="clear" w:color="auto" w:fill="auto"/>
            <w:vAlign w:val="center"/>
          </w:tcPr>
          <w:p w:rsidR="001648A5" w:rsidRPr="00A76143" w:rsidRDefault="001648A5" w:rsidP="00B73B53">
            <w:pPr>
              <w:spacing w:after="0" w:line="240" w:lineRule="auto"/>
              <w:jc w:val="center"/>
              <w:rPr>
                <w:rFonts w:ascii="Garamond" w:hAnsi="Garamond" w:cs="Calibri"/>
                <w:b/>
                <w:bCs/>
              </w:rPr>
            </w:pPr>
            <w:r w:rsidRPr="00A76143">
              <w:rPr>
                <w:rFonts w:ascii="Garamond" w:hAnsi="Garamond" w:cs="Calibri"/>
                <w:b/>
                <w:bCs/>
              </w:rPr>
              <w:t>Delta</w:t>
            </w:r>
          </w:p>
        </w:tc>
      </w:tr>
      <w:tr w:rsidR="00AD7FE3" w:rsidRPr="00AD7FE3" w:rsidTr="00A76143">
        <w:trPr>
          <w:trHeight w:val="144"/>
        </w:trPr>
        <w:tc>
          <w:tcPr>
            <w:tcW w:w="4375" w:type="dxa"/>
            <w:shd w:val="clear" w:color="auto" w:fill="auto"/>
          </w:tcPr>
          <w:p w:rsidR="001648A5" w:rsidRPr="00A76143" w:rsidRDefault="001648A5" w:rsidP="00B73B53">
            <w:pPr>
              <w:spacing w:after="0" w:line="240" w:lineRule="auto"/>
              <w:rPr>
                <w:rFonts w:ascii="Garamond" w:hAnsi="Garamond" w:cs="Calibri"/>
              </w:rPr>
            </w:pPr>
            <w:r w:rsidRPr="00A76143">
              <w:rPr>
                <w:rFonts w:ascii="Garamond" w:hAnsi="Garamond" w:cs="Calibri"/>
              </w:rPr>
              <w:t>Level I: Operational Self-sufficiency</w:t>
            </w:r>
            <w:r w:rsidR="00C47074">
              <w:rPr>
                <w:rFonts w:ascii="Garamond" w:hAnsi="Garamond" w:cs="Calibri"/>
              </w:rPr>
              <w:t xml:space="preserve"> (Operation)</w:t>
            </w:r>
          </w:p>
        </w:tc>
        <w:tc>
          <w:tcPr>
            <w:tcW w:w="1029" w:type="dxa"/>
            <w:shd w:val="clear" w:color="auto" w:fill="auto"/>
          </w:tcPr>
          <w:p w:rsidR="001648A5" w:rsidRPr="00A76143" w:rsidRDefault="005A0CF4" w:rsidP="00B73B53">
            <w:pPr>
              <w:spacing w:after="0" w:line="240" w:lineRule="auto"/>
              <w:jc w:val="right"/>
              <w:rPr>
                <w:rFonts w:ascii="Garamond" w:hAnsi="Garamond" w:cs="Calibri"/>
              </w:rPr>
            </w:pPr>
            <w:r>
              <w:rPr>
                <w:rFonts w:ascii="Garamond" w:hAnsi="Garamond" w:cs="Calibri"/>
              </w:rPr>
              <w:t>149.91</w:t>
            </w:r>
            <w:r w:rsidR="00C47074">
              <w:rPr>
                <w:rFonts w:ascii="Garamond" w:hAnsi="Garamond" w:cs="Calibri"/>
              </w:rPr>
              <w:t>%</w:t>
            </w:r>
          </w:p>
        </w:tc>
      </w:tr>
      <w:tr w:rsidR="00C47074" w:rsidRPr="00AD7FE3" w:rsidTr="00A76143">
        <w:trPr>
          <w:trHeight w:val="144"/>
        </w:trPr>
        <w:tc>
          <w:tcPr>
            <w:tcW w:w="4375" w:type="dxa"/>
            <w:shd w:val="clear" w:color="auto" w:fill="auto"/>
          </w:tcPr>
          <w:p w:rsidR="00C47074" w:rsidRPr="00A76143" w:rsidRDefault="00C47074" w:rsidP="00B73B53">
            <w:pPr>
              <w:spacing w:after="0" w:line="240" w:lineRule="auto"/>
              <w:rPr>
                <w:rFonts w:ascii="Garamond" w:hAnsi="Garamond" w:cs="Calibri"/>
              </w:rPr>
            </w:pPr>
            <w:r>
              <w:rPr>
                <w:rFonts w:ascii="Garamond" w:hAnsi="Garamond" w:cs="Calibri"/>
              </w:rPr>
              <w:t xml:space="preserve">Level 3: Short term Financial Sustainability </w:t>
            </w:r>
          </w:p>
        </w:tc>
        <w:tc>
          <w:tcPr>
            <w:tcW w:w="1029" w:type="dxa"/>
            <w:shd w:val="clear" w:color="auto" w:fill="auto"/>
          </w:tcPr>
          <w:p w:rsidR="00C47074" w:rsidRPr="00A76143" w:rsidRDefault="005A0CF4" w:rsidP="00B73B53">
            <w:pPr>
              <w:spacing w:after="0" w:line="240" w:lineRule="auto"/>
              <w:jc w:val="right"/>
              <w:rPr>
                <w:rFonts w:ascii="Garamond" w:hAnsi="Garamond" w:cs="Calibri"/>
              </w:rPr>
            </w:pPr>
            <w:r>
              <w:rPr>
                <w:rFonts w:ascii="Garamond" w:hAnsi="Garamond" w:cs="Calibri"/>
              </w:rPr>
              <w:t>70.75</w:t>
            </w:r>
            <w:r w:rsidR="00C47074">
              <w:rPr>
                <w:rFonts w:ascii="Garamond" w:hAnsi="Garamond" w:cs="Calibri"/>
              </w:rPr>
              <w:t>%</w:t>
            </w:r>
          </w:p>
        </w:tc>
      </w:tr>
    </w:tbl>
    <w:p w:rsidR="001C3BFD" w:rsidRPr="00A41678" w:rsidRDefault="001C3BFD" w:rsidP="001C3BFD">
      <w:pPr>
        <w:pBdr>
          <w:bottom w:val="single" w:sz="4" w:space="1" w:color="auto"/>
        </w:pBdr>
        <w:spacing w:before="120" w:after="120" w:line="240" w:lineRule="auto"/>
        <w:rPr>
          <w:b/>
        </w:rPr>
      </w:pPr>
      <w:r w:rsidRPr="00A41678">
        <w:rPr>
          <w:b/>
        </w:rPr>
        <w:lastRenderedPageBreak/>
        <w:t>Number of beneficiary households</w:t>
      </w:r>
    </w:p>
    <w:p w:rsidR="001C3BFD" w:rsidRPr="00A41678" w:rsidRDefault="001C3BFD" w:rsidP="00F90309">
      <w:pPr>
        <w:pBdr>
          <w:bottom w:val="single" w:sz="4" w:space="1" w:color="auto"/>
        </w:pBdr>
        <w:spacing w:before="120" w:after="120" w:line="240" w:lineRule="auto"/>
        <w:rPr>
          <w:b/>
        </w:rPr>
      </w:pPr>
      <w:r w:rsidRPr="00A41678">
        <w:rPr>
          <w:b/>
        </w:rPr>
        <w:t>Cost-Benefit Ratio</w:t>
      </w:r>
    </w:p>
    <w:p w:rsidR="001C3BFD" w:rsidRPr="00F944D9" w:rsidRDefault="000D4C7C" w:rsidP="00E11842">
      <w:pPr>
        <w:spacing w:before="120" w:after="120" w:line="240" w:lineRule="auto"/>
        <w:jc w:val="both"/>
      </w:pPr>
      <w:r w:rsidRPr="00F944D9">
        <w:t xml:space="preserve">Cost break down of villages are not available </w:t>
      </w:r>
      <w:r w:rsidR="00EC0104" w:rsidRPr="00F944D9">
        <w:t xml:space="preserve">in </w:t>
      </w:r>
      <w:r w:rsidR="00B85333">
        <w:t xml:space="preserve">the </w:t>
      </w:r>
      <w:r w:rsidR="00EC0104" w:rsidRPr="00F944D9">
        <w:t>System.</w:t>
      </w:r>
    </w:p>
    <w:p w:rsidR="009A1356" w:rsidRDefault="009A1356" w:rsidP="00F90309">
      <w:pPr>
        <w:pBdr>
          <w:bottom w:val="single" w:sz="4" w:space="1" w:color="auto"/>
        </w:pBdr>
        <w:spacing w:after="0" w:line="240" w:lineRule="auto"/>
        <w:rPr>
          <w:b/>
          <w:szCs w:val="22"/>
          <w:u w:val="single"/>
        </w:rPr>
      </w:pPr>
    </w:p>
    <w:p w:rsidR="00F90309" w:rsidRPr="00A41678" w:rsidRDefault="00F90309" w:rsidP="00F90309">
      <w:pPr>
        <w:pBdr>
          <w:bottom w:val="single" w:sz="4" w:space="1" w:color="auto"/>
        </w:pBdr>
        <w:spacing w:after="0" w:line="240" w:lineRule="auto"/>
        <w:rPr>
          <w:u w:val="single"/>
        </w:rPr>
      </w:pPr>
      <w:r w:rsidRPr="00E5777F">
        <w:rPr>
          <w:b/>
          <w:szCs w:val="22"/>
          <w:u w:val="single"/>
        </w:rPr>
        <w:t>4. HIGHLIGHTS AND QUERIES</w:t>
      </w:r>
    </w:p>
    <w:p w:rsidR="00520A0E" w:rsidRDefault="00520A0E" w:rsidP="00E11842">
      <w:pPr>
        <w:pBdr>
          <w:bottom w:val="single" w:sz="4" w:space="1" w:color="auto"/>
        </w:pBdr>
        <w:spacing w:before="120" w:after="120" w:line="240" w:lineRule="auto"/>
        <w:rPr>
          <w:b/>
        </w:rPr>
      </w:pPr>
    </w:p>
    <w:p w:rsidR="00E00CFF" w:rsidRPr="00A41678" w:rsidRDefault="00A63173" w:rsidP="00E11842">
      <w:pPr>
        <w:pBdr>
          <w:bottom w:val="single" w:sz="4" w:space="1" w:color="auto"/>
        </w:pBdr>
        <w:spacing w:before="120" w:after="120" w:line="240" w:lineRule="auto"/>
        <w:rPr>
          <w:b/>
        </w:rPr>
      </w:pPr>
      <w:r w:rsidRPr="00A41678">
        <w:rPr>
          <w:b/>
        </w:rPr>
        <w:t>C</w:t>
      </w:r>
      <w:r w:rsidR="00E00CFF" w:rsidRPr="00A41678">
        <w:rPr>
          <w:b/>
        </w:rPr>
        <w:t>omment on your partnerships and coordination with other projects/programs in the geographical and thematic areas?</w:t>
      </w:r>
    </w:p>
    <w:p w:rsidR="00C6721F" w:rsidRPr="00F944D9" w:rsidRDefault="00A05533" w:rsidP="00E11842">
      <w:pPr>
        <w:spacing w:before="120" w:after="120" w:line="240" w:lineRule="auto"/>
        <w:jc w:val="both"/>
      </w:pPr>
      <w:r w:rsidRPr="00F944D9">
        <w:t>From the beg</w:t>
      </w:r>
      <w:r w:rsidR="00304BD1" w:rsidRPr="00F944D9">
        <w:t>inning</w:t>
      </w:r>
      <w:r w:rsidRPr="00F944D9">
        <w:t xml:space="preserve"> of the pro</w:t>
      </w:r>
      <w:r w:rsidR="000B3566" w:rsidRPr="00F944D9">
        <w:t>ject</w:t>
      </w:r>
      <w:r w:rsidRPr="00F944D9">
        <w:t xml:space="preserve"> design,</w:t>
      </w:r>
      <w:r w:rsidR="00176D6A" w:rsidRPr="00F944D9">
        <w:t xml:space="preserve"> which was based on each IPs expertise,</w:t>
      </w:r>
      <w:r w:rsidRPr="00F944D9">
        <w:t xml:space="preserve"> LIFT and all </w:t>
      </w:r>
      <w:r w:rsidR="000B3566" w:rsidRPr="00F944D9">
        <w:t xml:space="preserve">other </w:t>
      </w:r>
      <w:r w:rsidRPr="00F944D9">
        <w:t xml:space="preserve">IPs </w:t>
      </w:r>
      <w:r w:rsidR="00014328" w:rsidRPr="00F944D9">
        <w:t xml:space="preserve">have </w:t>
      </w:r>
      <w:r w:rsidRPr="00F944D9">
        <w:t xml:space="preserve">emphasized on coordination </w:t>
      </w:r>
      <w:r w:rsidR="00304BD1" w:rsidRPr="00F944D9">
        <w:t>a</w:t>
      </w:r>
      <w:r w:rsidRPr="00F944D9">
        <w:t xml:space="preserve">nd partnership for </w:t>
      </w:r>
      <w:r w:rsidR="00014328" w:rsidRPr="00F944D9">
        <w:t xml:space="preserve">smooth and effective </w:t>
      </w:r>
      <w:r w:rsidR="00304BD1" w:rsidRPr="00F944D9">
        <w:t>implementation of the pro</w:t>
      </w:r>
      <w:r w:rsidR="000B3566" w:rsidRPr="00F944D9">
        <w:t>ject</w:t>
      </w:r>
      <w:r w:rsidR="00014328" w:rsidRPr="00F944D9">
        <w:t>.</w:t>
      </w:r>
      <w:r w:rsidR="00A41678">
        <w:t xml:space="preserve"> </w:t>
      </w:r>
      <w:r w:rsidRPr="00F944D9">
        <w:t xml:space="preserve">Pact </w:t>
      </w:r>
      <w:r w:rsidR="00014328" w:rsidRPr="00F944D9">
        <w:t xml:space="preserve">was </w:t>
      </w:r>
      <w:r w:rsidRPr="00F944D9">
        <w:t xml:space="preserve">brought into the partnership to provide financial services to the </w:t>
      </w:r>
      <w:r w:rsidR="00304BD1" w:rsidRPr="00F944D9">
        <w:t>clients</w:t>
      </w:r>
      <w:r w:rsidRPr="00F944D9">
        <w:t xml:space="preserve"> of the IPs for the farming needs and non</w:t>
      </w:r>
      <w:r w:rsidR="00304BD1" w:rsidRPr="00F944D9">
        <w:t>-</w:t>
      </w:r>
      <w:r w:rsidRPr="00F944D9">
        <w:t>farming needs of the landless and women from the pro</w:t>
      </w:r>
      <w:r w:rsidR="000B3566" w:rsidRPr="00F944D9">
        <w:t>ject</w:t>
      </w:r>
      <w:r w:rsidRPr="00F944D9">
        <w:t xml:space="preserve"> areas. </w:t>
      </w:r>
      <w:r w:rsidR="00AF7BEA">
        <w:t>In future, new loan products can been designed and refined in co-operation with partners.</w:t>
      </w:r>
    </w:p>
    <w:p w:rsidR="00E00CFF" w:rsidRPr="00A51DF2" w:rsidRDefault="00A63173" w:rsidP="00702204">
      <w:pPr>
        <w:pBdr>
          <w:bottom w:val="single" w:sz="4" w:space="1" w:color="auto"/>
        </w:pBdr>
        <w:spacing w:before="120" w:after="120" w:line="240" w:lineRule="auto"/>
        <w:rPr>
          <w:b/>
          <w:bCs/>
          <w:shd w:val="clear" w:color="auto" w:fill="FFFF00"/>
        </w:rPr>
      </w:pPr>
      <w:r w:rsidRPr="00A51DF2">
        <w:rPr>
          <w:b/>
          <w:bCs/>
        </w:rPr>
        <w:t>C</w:t>
      </w:r>
      <w:r w:rsidR="00E00CFF" w:rsidRPr="00A51DF2">
        <w:rPr>
          <w:b/>
          <w:bCs/>
        </w:rPr>
        <w:t>omment on specific results with regard to supporting ethnic groups and how does the project deal with ethnic issues in the implementation?</w:t>
      </w:r>
    </w:p>
    <w:p w:rsidR="007C34EA" w:rsidRPr="00F944D9" w:rsidRDefault="00702204" w:rsidP="00DD00D6">
      <w:pPr>
        <w:spacing w:before="120" w:after="240" w:line="240" w:lineRule="auto"/>
        <w:jc w:val="both"/>
      </w:pPr>
      <w:r w:rsidRPr="00F944D9">
        <w:t>There</w:t>
      </w:r>
      <w:r w:rsidR="00D35625">
        <w:t xml:space="preserve"> is</w:t>
      </w:r>
      <w:r w:rsidR="00014328" w:rsidRPr="00F944D9">
        <w:t xml:space="preserve"> a variety of </w:t>
      </w:r>
      <w:r w:rsidR="007C34EA" w:rsidRPr="00F944D9">
        <w:t>ethnic groups in Delt</w:t>
      </w:r>
      <w:r w:rsidR="00176D6A" w:rsidRPr="00F944D9">
        <w:t xml:space="preserve">a – </w:t>
      </w:r>
      <w:r w:rsidR="00304BD1" w:rsidRPr="00F944D9">
        <w:t>mostly</w:t>
      </w:r>
      <w:r w:rsidR="00AF7BEA">
        <w:t xml:space="preserve"> </w:t>
      </w:r>
      <w:r w:rsidR="00014328" w:rsidRPr="00F944D9">
        <w:t>Bamar</w:t>
      </w:r>
      <w:r w:rsidR="007C34EA" w:rsidRPr="00F944D9">
        <w:t xml:space="preserve">, and a small mix of </w:t>
      </w:r>
      <w:r w:rsidRPr="00F944D9">
        <w:t>Karen, Mon</w:t>
      </w:r>
      <w:r w:rsidR="007C34EA" w:rsidRPr="00F944D9">
        <w:t xml:space="preserve"> and Rakhine</w:t>
      </w:r>
      <w:r w:rsidR="00176D6A" w:rsidRPr="00F944D9">
        <w:t xml:space="preserve">, and </w:t>
      </w:r>
      <w:r w:rsidR="00014328" w:rsidRPr="00F944D9">
        <w:t xml:space="preserve">few </w:t>
      </w:r>
      <w:r w:rsidR="00176D6A" w:rsidRPr="00F944D9">
        <w:t xml:space="preserve">Chin </w:t>
      </w:r>
      <w:r w:rsidR="00014328" w:rsidRPr="00F944D9">
        <w:t xml:space="preserve">people </w:t>
      </w:r>
      <w:r w:rsidR="007C34EA" w:rsidRPr="00F944D9">
        <w:t>in L</w:t>
      </w:r>
      <w:r w:rsidRPr="00F944D9">
        <w:t>aputta area</w:t>
      </w:r>
      <w:r w:rsidR="007C34EA" w:rsidRPr="00F944D9">
        <w:t xml:space="preserve">. </w:t>
      </w:r>
      <w:r w:rsidR="000B3566" w:rsidRPr="00F944D9">
        <w:t>UNDP</w:t>
      </w:r>
      <w:r w:rsidR="00684328" w:rsidRPr="00F944D9">
        <w:t>/PACT</w:t>
      </w:r>
      <w:r w:rsidR="000B3566" w:rsidRPr="00F944D9">
        <w:t xml:space="preserve"> applies </w:t>
      </w:r>
      <w:r w:rsidR="008B2533" w:rsidRPr="00F944D9">
        <w:t>the policy</w:t>
      </w:r>
      <w:r w:rsidR="007C34EA" w:rsidRPr="00F944D9">
        <w:t xml:space="preserve"> of equal opportunity for all the race and religion</w:t>
      </w:r>
      <w:r w:rsidR="008B2533" w:rsidRPr="00F944D9">
        <w:t xml:space="preserve"> in the project area.</w:t>
      </w:r>
      <w:r w:rsidR="007C34EA" w:rsidRPr="00F944D9">
        <w:t xml:space="preserve"> Wh</w:t>
      </w:r>
      <w:r w:rsidRPr="00F944D9">
        <w:t xml:space="preserve">en </w:t>
      </w:r>
      <w:r w:rsidR="007C34EA" w:rsidRPr="00F944D9">
        <w:t>anyone</w:t>
      </w:r>
      <w:r w:rsidRPr="00F944D9">
        <w:t xml:space="preserve"> become</w:t>
      </w:r>
      <w:r w:rsidR="00014328" w:rsidRPr="00F944D9">
        <w:t>s</w:t>
      </w:r>
      <w:r w:rsidRPr="00F944D9">
        <w:t xml:space="preserve"> microfinance member they become part of the microfinance community an</w:t>
      </w:r>
      <w:r w:rsidR="005413C1" w:rsidRPr="00F944D9">
        <w:t>d</w:t>
      </w:r>
      <w:r w:rsidR="00AF7BEA">
        <w:t xml:space="preserve"> </w:t>
      </w:r>
      <w:r w:rsidR="007C34EA" w:rsidRPr="00F944D9">
        <w:t>get access to all the</w:t>
      </w:r>
      <w:r w:rsidRPr="00F944D9">
        <w:t xml:space="preserve"> microfinance related </w:t>
      </w:r>
      <w:r w:rsidR="008B2533" w:rsidRPr="00F944D9">
        <w:t>services</w:t>
      </w:r>
      <w:r w:rsidR="007C34EA" w:rsidRPr="00F944D9">
        <w:t xml:space="preserve"> without any </w:t>
      </w:r>
      <w:r w:rsidR="00176D6A" w:rsidRPr="00F944D9">
        <w:t xml:space="preserve">undue </w:t>
      </w:r>
      <w:r w:rsidR="007C34EA" w:rsidRPr="00F944D9">
        <w:t>favor</w:t>
      </w:r>
      <w:r w:rsidR="00176D6A" w:rsidRPr="00F944D9">
        <w:t>.</w:t>
      </w:r>
      <w:r w:rsidR="005413C1" w:rsidRPr="00F944D9">
        <w:t xml:space="preserve"> The inhabitants in Delta, </w:t>
      </w:r>
      <w:r w:rsidR="00014328" w:rsidRPr="00F944D9">
        <w:t xml:space="preserve">irrespective of </w:t>
      </w:r>
      <w:r w:rsidR="007C34EA" w:rsidRPr="00F944D9">
        <w:t>all ethnicity</w:t>
      </w:r>
      <w:r w:rsidR="00176D6A" w:rsidRPr="00F944D9">
        <w:t>,</w:t>
      </w:r>
      <w:r w:rsidR="00AF7BEA">
        <w:t xml:space="preserve"> </w:t>
      </w:r>
      <w:r w:rsidR="005413C1" w:rsidRPr="00F944D9">
        <w:t>can communicate well in Myanmar language</w:t>
      </w:r>
      <w:r w:rsidR="00176D6A" w:rsidRPr="00F944D9">
        <w:t xml:space="preserve">, which creates a greater harmony in the region. </w:t>
      </w:r>
    </w:p>
    <w:p w:rsidR="00E00CFF" w:rsidRPr="00A51DF2" w:rsidRDefault="001C62E3" w:rsidP="005975D6">
      <w:pPr>
        <w:pBdr>
          <w:bottom w:val="single" w:sz="4" w:space="1" w:color="auto"/>
        </w:pBdr>
        <w:spacing w:before="120" w:after="120" w:line="240" w:lineRule="auto"/>
        <w:rPr>
          <w:b/>
          <w:bCs/>
        </w:rPr>
      </w:pPr>
      <w:r w:rsidRPr="00A51DF2">
        <w:rPr>
          <w:b/>
          <w:bCs/>
        </w:rPr>
        <w:t>P</w:t>
      </w:r>
      <w:r w:rsidR="00E00CFF" w:rsidRPr="00A51DF2">
        <w:rPr>
          <w:b/>
          <w:bCs/>
        </w:rPr>
        <w:t>roject management issues:</w:t>
      </w:r>
    </w:p>
    <w:p w:rsidR="00041684" w:rsidRPr="00F944D9" w:rsidRDefault="00041684" w:rsidP="00593243">
      <w:pPr>
        <w:spacing w:before="120" w:after="120" w:line="240" w:lineRule="auto"/>
        <w:jc w:val="both"/>
      </w:pPr>
      <w:r w:rsidRPr="00F944D9">
        <w:t xml:space="preserve">The program had </w:t>
      </w:r>
      <w:r w:rsidR="00001364" w:rsidRPr="00F944D9">
        <w:t xml:space="preserve">a </w:t>
      </w:r>
      <w:r w:rsidRPr="00F944D9">
        <w:t>fast</w:t>
      </w:r>
      <w:r w:rsidR="00A02CAA" w:rsidRPr="00F944D9">
        <w:t>-</w:t>
      </w:r>
      <w:r w:rsidRPr="00F944D9">
        <w:t xml:space="preserve">track start with the reassignment of </w:t>
      </w:r>
      <w:r w:rsidR="001F4212" w:rsidRPr="00F944D9">
        <w:t>e</w:t>
      </w:r>
      <w:r w:rsidRPr="00F944D9">
        <w:t>xperience</w:t>
      </w:r>
      <w:r w:rsidR="00A02CAA" w:rsidRPr="00F944D9">
        <w:t>d</w:t>
      </w:r>
      <w:r w:rsidRPr="00F944D9">
        <w:t xml:space="preserve"> staff from </w:t>
      </w:r>
      <w:r w:rsidR="00A02CAA" w:rsidRPr="00F944D9">
        <w:t xml:space="preserve">the </w:t>
      </w:r>
      <w:r w:rsidR="00001364" w:rsidRPr="00F944D9">
        <w:t xml:space="preserve">existing </w:t>
      </w:r>
      <w:r w:rsidR="005402BE" w:rsidRPr="00F944D9">
        <w:t>project</w:t>
      </w:r>
      <w:r w:rsidRPr="00F944D9">
        <w:t xml:space="preserve"> to the implementation of LIFT activities. </w:t>
      </w:r>
      <w:r w:rsidR="005402BE" w:rsidRPr="00F944D9">
        <w:t>It</w:t>
      </w:r>
      <w:r w:rsidR="00253C1A">
        <w:t xml:space="preserve"> </w:t>
      </w:r>
      <w:r w:rsidR="00471501" w:rsidRPr="00F944D9">
        <w:t>ha</w:t>
      </w:r>
      <w:r w:rsidRPr="00F944D9">
        <w:t xml:space="preserve">s </w:t>
      </w:r>
      <w:r w:rsidR="003168A4" w:rsidRPr="00F944D9">
        <w:t xml:space="preserve">now </w:t>
      </w:r>
      <w:r w:rsidRPr="00F944D9">
        <w:t>recrui</w:t>
      </w:r>
      <w:r w:rsidR="003168A4" w:rsidRPr="00F944D9">
        <w:t>ted some</w:t>
      </w:r>
      <w:r w:rsidR="00253C1A">
        <w:t xml:space="preserve"> </w:t>
      </w:r>
      <w:r w:rsidRPr="00F944D9">
        <w:t xml:space="preserve">new staff </w:t>
      </w:r>
      <w:r w:rsidR="001F4212" w:rsidRPr="00F944D9">
        <w:t>to replace the</w:t>
      </w:r>
      <w:r w:rsidRPr="00F944D9">
        <w:t xml:space="preserve"> staff </w:t>
      </w:r>
      <w:r w:rsidR="005402BE" w:rsidRPr="00F944D9">
        <w:t>transferred</w:t>
      </w:r>
      <w:r w:rsidRPr="00F944D9">
        <w:t xml:space="preserve"> to LIFT activities. </w:t>
      </w:r>
      <w:r w:rsidR="007004E2" w:rsidRPr="00F944D9">
        <w:t xml:space="preserve">As the </w:t>
      </w:r>
      <w:r w:rsidR="006B64A0">
        <w:t xml:space="preserve">staff </w:t>
      </w:r>
      <w:r w:rsidR="007004E2" w:rsidRPr="00F944D9">
        <w:t>in</w:t>
      </w:r>
      <w:r w:rsidR="00A02CAA" w:rsidRPr="00F944D9">
        <w:t>-c</w:t>
      </w:r>
      <w:r w:rsidR="007004E2" w:rsidRPr="00F944D9">
        <w:t xml:space="preserve">harge for the LIFT activities </w:t>
      </w:r>
      <w:r w:rsidR="00A02CAA" w:rsidRPr="00F944D9">
        <w:t xml:space="preserve">has </w:t>
      </w:r>
      <w:r w:rsidR="007004E2" w:rsidRPr="00F944D9">
        <w:t>recently gone oversea</w:t>
      </w:r>
      <w:r w:rsidR="00593243" w:rsidRPr="00F944D9">
        <w:t xml:space="preserve">s for higher studies, </w:t>
      </w:r>
      <w:r w:rsidR="004F2B3C">
        <w:t>UNDP/PACT</w:t>
      </w:r>
      <w:r w:rsidR="006B64A0">
        <w:t xml:space="preserve"> could not substitute for the time being and </w:t>
      </w:r>
      <w:r w:rsidR="007004E2" w:rsidRPr="00F944D9">
        <w:t>in the process of finding a replacement for LIFT program</w:t>
      </w:r>
      <w:r w:rsidR="006B64A0">
        <w:t xml:space="preserve">s. </w:t>
      </w:r>
    </w:p>
    <w:p w:rsidR="00E00CFF" w:rsidRDefault="00E55D20" w:rsidP="00EC0104">
      <w:pPr>
        <w:spacing w:before="120" w:after="120" w:line="240" w:lineRule="auto"/>
        <w:jc w:val="both"/>
        <w:rPr>
          <w:rFonts w:asciiTheme="minorHAnsi" w:hAnsiTheme="minorHAnsi" w:cstheme="minorHAnsi"/>
          <w:color w:val="FF0000"/>
          <w:sz w:val="20"/>
          <w:szCs w:val="20"/>
        </w:rPr>
      </w:pPr>
      <w:r w:rsidRPr="00097E80">
        <w:rPr>
          <w:rFonts w:asciiTheme="minorHAnsi" w:hAnsiTheme="minorHAnsi" w:cstheme="minorHAnsi"/>
          <w:color w:val="FF0000"/>
          <w:sz w:val="20"/>
          <w:szCs w:val="20"/>
        </w:rPr>
        <w:tab/>
      </w:r>
    </w:p>
    <w:p w:rsidR="00E00CFF" w:rsidRPr="00DC318E" w:rsidRDefault="00E00CFF" w:rsidP="009F3FF7">
      <w:pPr>
        <w:pBdr>
          <w:bottom w:val="single" w:sz="4" w:space="1" w:color="auto"/>
        </w:pBdr>
        <w:snapToGrid w:val="0"/>
        <w:spacing w:before="120" w:after="120" w:line="240" w:lineRule="auto"/>
        <w:rPr>
          <w:b/>
        </w:rPr>
      </w:pPr>
      <w:r w:rsidRPr="00E5777F">
        <w:rPr>
          <w:b/>
        </w:rPr>
        <w:t>FUTURE WORK PLAN</w:t>
      </w:r>
    </w:p>
    <w:p w:rsidR="00E00CFF" w:rsidRPr="00DC318E" w:rsidRDefault="00E00CFF" w:rsidP="005975D6">
      <w:pPr>
        <w:pStyle w:val="Header"/>
        <w:pBdr>
          <w:bottom w:val="single" w:sz="4" w:space="1" w:color="auto"/>
        </w:pBdr>
        <w:spacing w:before="120" w:after="120" w:line="240" w:lineRule="auto"/>
        <w:rPr>
          <w:b/>
          <w:szCs w:val="22"/>
        </w:rPr>
      </w:pPr>
      <w:r w:rsidRPr="00DC318E">
        <w:rPr>
          <w:b/>
          <w:szCs w:val="22"/>
        </w:rPr>
        <w:t>1. What are the priority actions planned for the following year to overcome constraints, build on achievements and partnership, and use of the lessons learned during the previous reporting period?</w:t>
      </w:r>
    </w:p>
    <w:p w:rsidR="00001364" w:rsidRPr="00DC318E" w:rsidRDefault="00DC318E" w:rsidP="006B64A0">
      <w:pPr>
        <w:pStyle w:val="Header"/>
        <w:spacing w:before="120" w:after="0" w:line="240" w:lineRule="auto"/>
      </w:pPr>
      <w:r w:rsidRPr="00DC318E">
        <w:t>Major priorities for the coming period</w:t>
      </w:r>
      <w:r w:rsidR="004519D5" w:rsidRPr="00DC318E">
        <w:t xml:space="preserve"> are</w:t>
      </w:r>
      <w:r w:rsidR="00001364" w:rsidRPr="00DC318E">
        <w:t>:</w:t>
      </w:r>
    </w:p>
    <w:p w:rsidR="00001364" w:rsidRPr="00DC318E" w:rsidRDefault="004519D5" w:rsidP="006B64A0">
      <w:pPr>
        <w:pStyle w:val="Header"/>
        <w:numPr>
          <w:ilvl w:val="0"/>
          <w:numId w:val="1"/>
        </w:numPr>
        <w:spacing w:before="120" w:after="0" w:line="240" w:lineRule="auto"/>
        <w:jc w:val="both"/>
      </w:pPr>
      <w:r w:rsidRPr="00DC318E">
        <w:t xml:space="preserve">To continuously </w:t>
      </w:r>
      <w:r w:rsidR="00001364" w:rsidRPr="00DC318E">
        <w:t xml:space="preserve">follow up the agricultural loans provided to </w:t>
      </w:r>
      <w:r w:rsidRPr="00DC318E">
        <w:t>n</w:t>
      </w:r>
      <w:r w:rsidR="00001364" w:rsidRPr="00DC318E">
        <w:t xml:space="preserve">ew clients through the LIFT II MF funding </w:t>
      </w:r>
      <w:r w:rsidRPr="00DC318E">
        <w:t>as</w:t>
      </w:r>
      <w:r w:rsidR="00001364" w:rsidRPr="00DC318E">
        <w:t xml:space="preserve"> the farming loans </w:t>
      </w:r>
      <w:r w:rsidRPr="00DC318E">
        <w:t xml:space="preserve">were observed as </w:t>
      </w:r>
      <w:r w:rsidR="00001364" w:rsidRPr="00DC318E">
        <w:t xml:space="preserve">the most risky portfolio in MF operations. In </w:t>
      </w:r>
      <w:r w:rsidRPr="00DC318E">
        <w:t xml:space="preserve">the </w:t>
      </w:r>
      <w:r w:rsidR="00001364" w:rsidRPr="00DC318E">
        <w:t xml:space="preserve">recent past, there </w:t>
      </w:r>
      <w:r w:rsidR="00734D03" w:rsidRPr="00DC318E">
        <w:t>is</w:t>
      </w:r>
      <w:r w:rsidR="00001364" w:rsidRPr="00DC318E">
        <w:t xml:space="preserve"> precedence of agriculture loan default in </w:t>
      </w:r>
      <w:r w:rsidRPr="00DC318E">
        <w:t xml:space="preserve">the </w:t>
      </w:r>
      <w:r w:rsidR="00001364" w:rsidRPr="00DC318E">
        <w:t xml:space="preserve">Delta </w:t>
      </w:r>
      <w:r w:rsidR="00C92EC2" w:rsidRPr="00DC318E">
        <w:t>region</w:t>
      </w:r>
      <w:r w:rsidR="00DC318E" w:rsidRPr="00DC318E">
        <w:t xml:space="preserve"> by agricultural companies</w:t>
      </w:r>
      <w:r w:rsidR="00C92EC2" w:rsidRPr="00DC318E">
        <w:t>.</w:t>
      </w:r>
      <w:r w:rsidR="00001364" w:rsidRPr="00DC318E">
        <w:t xml:space="preserve"> Thus there is some risk of non-repayment of agriculture loan </w:t>
      </w:r>
      <w:r w:rsidRPr="00DC318E">
        <w:t xml:space="preserve">as a result of past years’ </w:t>
      </w:r>
      <w:r w:rsidR="00001364" w:rsidRPr="00DC318E">
        <w:t>default</w:t>
      </w:r>
      <w:r w:rsidRPr="00DC318E">
        <w:t>s</w:t>
      </w:r>
      <w:r w:rsidR="00001364" w:rsidRPr="00DC318E">
        <w:t>.</w:t>
      </w:r>
    </w:p>
    <w:p w:rsidR="000812AD" w:rsidRPr="00DC318E" w:rsidRDefault="00DC318E" w:rsidP="006B64A0">
      <w:pPr>
        <w:pStyle w:val="Header"/>
        <w:numPr>
          <w:ilvl w:val="0"/>
          <w:numId w:val="1"/>
        </w:numPr>
        <w:spacing w:before="120" w:after="0" w:line="240" w:lineRule="auto"/>
      </w:pPr>
      <w:r w:rsidRPr="00DC318E">
        <w:t xml:space="preserve">To design </w:t>
      </w:r>
      <w:r w:rsidR="000812AD" w:rsidRPr="00DC318E">
        <w:t xml:space="preserve">New Loan products (Consumer loan </w:t>
      </w:r>
      <w:r w:rsidR="00C77406" w:rsidRPr="00DC318E">
        <w:t>to buy</w:t>
      </w:r>
      <w:r w:rsidR="000812AD" w:rsidRPr="00DC318E">
        <w:t xml:space="preserve"> mobile phone</w:t>
      </w:r>
      <w:r w:rsidR="0000008B" w:rsidRPr="00DC318E">
        <w:t>,</w:t>
      </w:r>
      <w:r w:rsidR="000812AD" w:rsidRPr="00DC318E">
        <w:t xml:space="preserve"> </w:t>
      </w:r>
      <w:r w:rsidR="00C77406" w:rsidRPr="00DC318E">
        <w:t>house repairing loan</w:t>
      </w:r>
      <w:r w:rsidR="0000008B" w:rsidRPr="00DC318E">
        <w:t xml:space="preserve"> and Inve</w:t>
      </w:r>
      <w:r w:rsidR="00984076">
        <w:t xml:space="preserve">ntory </w:t>
      </w:r>
      <w:r w:rsidR="004A1D6D">
        <w:t xml:space="preserve">credit , </w:t>
      </w:r>
      <w:r w:rsidR="00984076">
        <w:t>Hire</w:t>
      </w:r>
      <w:r w:rsidR="0000008B" w:rsidRPr="00DC318E">
        <w:t xml:space="preserve"> purchase</w:t>
      </w:r>
      <w:r>
        <w:t>, leasing</w:t>
      </w:r>
      <w:r w:rsidR="0000008B" w:rsidRPr="00DC318E">
        <w:t xml:space="preserve"> and group loan</w:t>
      </w:r>
      <w:r w:rsidR="000812AD" w:rsidRPr="00DC318E">
        <w:t>)</w:t>
      </w:r>
      <w:r w:rsidR="00C77406" w:rsidRPr="00DC318E">
        <w:t>.</w:t>
      </w:r>
    </w:p>
    <w:p w:rsidR="000812AD" w:rsidRPr="00DC318E" w:rsidRDefault="00984076" w:rsidP="006B64A0">
      <w:pPr>
        <w:pStyle w:val="Header"/>
        <w:numPr>
          <w:ilvl w:val="0"/>
          <w:numId w:val="1"/>
        </w:numPr>
        <w:spacing w:before="120" w:after="0" w:line="240" w:lineRule="auto"/>
      </w:pPr>
      <w:r>
        <w:t xml:space="preserve">To </w:t>
      </w:r>
      <w:r w:rsidR="006B64A0">
        <w:t>c</w:t>
      </w:r>
      <w:r w:rsidR="000812AD" w:rsidRPr="00DC318E">
        <w:t>ontinu</w:t>
      </w:r>
      <w:r>
        <w:t>e</w:t>
      </w:r>
      <w:r w:rsidR="004A1D6D">
        <w:t xml:space="preserve"> </w:t>
      </w:r>
      <w:r w:rsidR="000812AD" w:rsidRPr="00DC318E">
        <w:t>beneficiaries training program (such as NFBE, Orientation training for MFC ECs and</w:t>
      </w:r>
    </w:p>
    <w:p w:rsidR="000812AD" w:rsidRPr="00DC318E" w:rsidRDefault="000812AD" w:rsidP="006B64A0">
      <w:pPr>
        <w:pStyle w:val="Header"/>
        <w:spacing w:before="120" w:after="0" w:line="240" w:lineRule="auto"/>
        <w:ind w:left="720"/>
      </w:pPr>
      <w:r w:rsidRPr="00DC318E">
        <w:t>Awareness building training for MFC members</w:t>
      </w:r>
      <w:r w:rsidR="00EE6456">
        <w:t>.</w:t>
      </w:r>
    </w:p>
    <w:p w:rsidR="00677055" w:rsidRPr="00984076" w:rsidRDefault="00984076" w:rsidP="006B64A0">
      <w:pPr>
        <w:pStyle w:val="Header"/>
        <w:numPr>
          <w:ilvl w:val="0"/>
          <w:numId w:val="1"/>
        </w:numPr>
        <w:spacing w:before="120" w:after="0" w:line="240" w:lineRule="auto"/>
      </w:pPr>
      <w:r>
        <w:t>To a</w:t>
      </w:r>
      <w:r w:rsidR="00677055" w:rsidRPr="00984076">
        <w:t xml:space="preserve">rrange planned vocational training to the beneficiary </w:t>
      </w:r>
      <w:r w:rsidR="006B283E" w:rsidRPr="00984076">
        <w:t xml:space="preserve">by Coordination </w:t>
      </w:r>
      <w:r w:rsidR="00677055" w:rsidRPr="00984076">
        <w:t xml:space="preserve">with the </w:t>
      </w:r>
      <w:r w:rsidR="00415806" w:rsidRPr="00984076">
        <w:t xml:space="preserve">other </w:t>
      </w:r>
      <w:r w:rsidR="00677055" w:rsidRPr="00984076">
        <w:t>IPs</w:t>
      </w:r>
      <w:r w:rsidR="00D35625">
        <w:t>.</w:t>
      </w:r>
    </w:p>
    <w:p w:rsidR="00C77406" w:rsidRPr="00097E80" w:rsidRDefault="00C77406" w:rsidP="00C77406">
      <w:pPr>
        <w:pStyle w:val="Header"/>
        <w:spacing w:before="120" w:after="120" w:line="240" w:lineRule="auto"/>
        <w:ind w:left="720"/>
        <w:rPr>
          <w:color w:val="FF0000"/>
        </w:rPr>
      </w:pPr>
    </w:p>
    <w:p w:rsidR="00E00CFF" w:rsidRPr="00097E80" w:rsidRDefault="00E00CFF" w:rsidP="006B64A0">
      <w:pPr>
        <w:pStyle w:val="Header"/>
        <w:pBdr>
          <w:bottom w:val="single" w:sz="4" w:space="1" w:color="auto"/>
        </w:pBdr>
        <w:spacing w:after="120"/>
        <w:rPr>
          <w:b/>
          <w:color w:val="FF0000"/>
          <w:szCs w:val="22"/>
        </w:rPr>
      </w:pPr>
      <w:r w:rsidRPr="006B64A0">
        <w:rPr>
          <w:b/>
          <w:szCs w:val="22"/>
        </w:rPr>
        <w:t>2. List major</w:t>
      </w:r>
      <w:r w:rsidRPr="00984076">
        <w:rPr>
          <w:b/>
          <w:szCs w:val="22"/>
        </w:rPr>
        <w:t xml:space="preserve"> adjustments in the strategies, targets or key outcomes and outputs planned.</w:t>
      </w:r>
    </w:p>
    <w:p w:rsidR="006B64A0" w:rsidRDefault="006B64A0" w:rsidP="006B64A0">
      <w:pPr>
        <w:pStyle w:val="Header"/>
        <w:numPr>
          <w:ilvl w:val="0"/>
          <w:numId w:val="5"/>
        </w:numPr>
        <w:spacing w:after="120"/>
        <w:rPr>
          <w:bCs/>
        </w:rPr>
      </w:pPr>
      <w:r>
        <w:rPr>
          <w:bCs/>
        </w:rPr>
        <w:t>Presently no adjustment has been made so far but need to revise the target of agro-trading that the target seemed to be over enthusiastically set.</w:t>
      </w:r>
    </w:p>
    <w:p w:rsidR="000050AE" w:rsidRPr="00984076" w:rsidRDefault="006B64A0" w:rsidP="006B64A0">
      <w:pPr>
        <w:pStyle w:val="Header"/>
        <w:numPr>
          <w:ilvl w:val="0"/>
          <w:numId w:val="5"/>
        </w:numPr>
        <w:spacing w:after="120"/>
        <w:rPr>
          <w:bCs/>
        </w:rPr>
      </w:pPr>
      <w:r>
        <w:rPr>
          <w:bCs/>
        </w:rPr>
        <w:t xml:space="preserve">If able to initiate new loan products such as </w:t>
      </w:r>
      <w:r w:rsidR="000050AE" w:rsidRPr="00984076">
        <w:rPr>
          <w:bCs/>
        </w:rPr>
        <w:t>(Group loan</w:t>
      </w:r>
      <w:r w:rsidR="00984076" w:rsidRPr="00984076">
        <w:rPr>
          <w:bCs/>
        </w:rPr>
        <w:t>, Inventory credit loan, hire</w:t>
      </w:r>
      <w:r w:rsidR="000050AE" w:rsidRPr="00984076">
        <w:rPr>
          <w:bCs/>
        </w:rPr>
        <w:t xml:space="preserve"> purchase loan</w:t>
      </w:r>
      <w:r w:rsidR="00984076" w:rsidRPr="00984076">
        <w:rPr>
          <w:bCs/>
        </w:rPr>
        <w:t>, and leasing</w:t>
      </w:r>
      <w:r>
        <w:rPr>
          <w:bCs/>
        </w:rPr>
        <w:t>) the target and approach would probably be changed.</w:t>
      </w:r>
    </w:p>
    <w:p w:rsidR="00770E07" w:rsidRPr="00F944D9" w:rsidRDefault="00770E07" w:rsidP="006B64A0">
      <w:pPr>
        <w:pStyle w:val="Header"/>
        <w:tabs>
          <w:tab w:val="clear" w:pos="4680"/>
          <w:tab w:val="clear" w:pos="9360"/>
          <w:tab w:val="left" w:pos="6435"/>
        </w:tabs>
        <w:spacing w:before="240"/>
        <w:rPr>
          <w:b/>
        </w:rPr>
      </w:pPr>
      <w:r w:rsidRPr="00F944D9">
        <w:rPr>
          <w:b/>
        </w:rPr>
        <w:t>Regarding the reporting format currently used, the rating is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576"/>
        <w:gridCol w:w="576"/>
        <w:gridCol w:w="576"/>
        <w:gridCol w:w="576"/>
        <w:gridCol w:w="576"/>
      </w:tblGrid>
      <w:tr w:rsidR="00F944D9" w:rsidRPr="00F944D9" w:rsidTr="002604D8">
        <w:tc>
          <w:tcPr>
            <w:tcW w:w="5472" w:type="dxa"/>
            <w:shd w:val="clear" w:color="auto" w:fill="auto"/>
          </w:tcPr>
          <w:p w:rsidR="00C00BEE" w:rsidRPr="00F944D9" w:rsidRDefault="00C00BEE" w:rsidP="00697FD6">
            <w:pPr>
              <w:pStyle w:val="Header"/>
              <w:spacing w:after="0" w:line="240" w:lineRule="auto"/>
              <w:rPr>
                <w:szCs w:val="22"/>
              </w:rPr>
            </w:pPr>
          </w:p>
          <w:p w:rsidR="00C00BEE" w:rsidRPr="00F944D9" w:rsidRDefault="00C00BEE" w:rsidP="00697FD6">
            <w:pPr>
              <w:pStyle w:val="Header"/>
              <w:spacing w:after="0" w:line="240" w:lineRule="auto"/>
              <w:rPr>
                <w:szCs w:val="22"/>
              </w:rPr>
            </w:pPr>
            <w:r w:rsidRPr="00F944D9">
              <w:rPr>
                <w:szCs w:val="22"/>
              </w:rPr>
              <w:t>Report effectiveness criteria</w:t>
            </w:r>
          </w:p>
        </w:tc>
        <w:tc>
          <w:tcPr>
            <w:tcW w:w="576" w:type="dxa"/>
            <w:shd w:val="clear" w:color="auto" w:fill="auto"/>
          </w:tcPr>
          <w:p w:rsidR="00C00BEE" w:rsidRPr="00F944D9" w:rsidRDefault="00C00BEE" w:rsidP="00697FD6">
            <w:pPr>
              <w:pStyle w:val="Header"/>
              <w:spacing w:after="0" w:line="240" w:lineRule="auto"/>
              <w:rPr>
                <w:szCs w:val="22"/>
              </w:rPr>
            </w:pPr>
            <w:r w:rsidRPr="00F944D9">
              <w:rPr>
                <w:szCs w:val="22"/>
              </w:rPr>
              <w:t>1</w:t>
            </w:r>
          </w:p>
        </w:tc>
        <w:tc>
          <w:tcPr>
            <w:tcW w:w="576" w:type="dxa"/>
            <w:shd w:val="clear" w:color="auto" w:fill="auto"/>
          </w:tcPr>
          <w:p w:rsidR="00C00BEE" w:rsidRPr="00F944D9" w:rsidRDefault="00C00BEE" w:rsidP="00697FD6">
            <w:pPr>
              <w:pStyle w:val="Header"/>
              <w:spacing w:after="0" w:line="240" w:lineRule="auto"/>
              <w:rPr>
                <w:szCs w:val="22"/>
              </w:rPr>
            </w:pPr>
            <w:r w:rsidRPr="00F944D9">
              <w:rPr>
                <w:szCs w:val="22"/>
              </w:rPr>
              <w:t>2</w:t>
            </w:r>
          </w:p>
        </w:tc>
        <w:tc>
          <w:tcPr>
            <w:tcW w:w="576" w:type="dxa"/>
            <w:shd w:val="clear" w:color="auto" w:fill="auto"/>
          </w:tcPr>
          <w:p w:rsidR="00C00BEE" w:rsidRPr="00F944D9" w:rsidRDefault="00C00BEE" w:rsidP="00697FD6">
            <w:pPr>
              <w:pStyle w:val="Header"/>
              <w:spacing w:after="0" w:line="240" w:lineRule="auto"/>
              <w:rPr>
                <w:szCs w:val="22"/>
              </w:rPr>
            </w:pPr>
            <w:r w:rsidRPr="00F944D9">
              <w:rPr>
                <w:szCs w:val="22"/>
              </w:rPr>
              <w:t>3</w:t>
            </w:r>
          </w:p>
        </w:tc>
        <w:tc>
          <w:tcPr>
            <w:tcW w:w="576" w:type="dxa"/>
            <w:shd w:val="clear" w:color="auto" w:fill="auto"/>
          </w:tcPr>
          <w:p w:rsidR="00C00BEE" w:rsidRPr="00F944D9" w:rsidRDefault="00C00BEE" w:rsidP="00697FD6">
            <w:pPr>
              <w:pStyle w:val="Header"/>
              <w:spacing w:after="0" w:line="240" w:lineRule="auto"/>
              <w:rPr>
                <w:szCs w:val="22"/>
              </w:rPr>
            </w:pPr>
            <w:r w:rsidRPr="00F944D9">
              <w:rPr>
                <w:szCs w:val="22"/>
              </w:rPr>
              <w:t>4</w:t>
            </w:r>
          </w:p>
        </w:tc>
        <w:tc>
          <w:tcPr>
            <w:tcW w:w="576" w:type="dxa"/>
            <w:shd w:val="clear" w:color="auto" w:fill="auto"/>
          </w:tcPr>
          <w:p w:rsidR="00C00BEE" w:rsidRPr="00F944D9" w:rsidRDefault="00C00BEE" w:rsidP="00697FD6">
            <w:pPr>
              <w:pStyle w:val="Header"/>
              <w:spacing w:after="0" w:line="240" w:lineRule="auto"/>
              <w:rPr>
                <w:szCs w:val="22"/>
              </w:rPr>
            </w:pPr>
            <w:r w:rsidRPr="00F944D9">
              <w:rPr>
                <w:szCs w:val="22"/>
              </w:rPr>
              <w:t>5</w:t>
            </w:r>
          </w:p>
        </w:tc>
      </w:tr>
      <w:tr w:rsidR="00F944D9" w:rsidRPr="00F944D9" w:rsidTr="002604D8">
        <w:tc>
          <w:tcPr>
            <w:tcW w:w="5472" w:type="dxa"/>
            <w:shd w:val="clear" w:color="auto" w:fill="auto"/>
          </w:tcPr>
          <w:p w:rsidR="00C00BEE" w:rsidRPr="00F944D9" w:rsidRDefault="00C00BEE" w:rsidP="00697FD6">
            <w:pPr>
              <w:pStyle w:val="Header"/>
              <w:spacing w:after="0" w:line="240" w:lineRule="auto"/>
              <w:rPr>
                <w:szCs w:val="22"/>
              </w:rPr>
            </w:pPr>
            <w:r w:rsidRPr="00F944D9">
              <w:rPr>
                <w:szCs w:val="22"/>
              </w:rPr>
              <w:t>‘User-friendly’ style – ease of working</w:t>
            </w: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983471" w:rsidP="00697FD6">
            <w:pPr>
              <w:pStyle w:val="Header"/>
              <w:spacing w:after="0" w:line="240" w:lineRule="auto"/>
              <w:rPr>
                <w:szCs w:val="22"/>
              </w:rPr>
            </w:pPr>
            <w:r w:rsidRPr="00F944D9">
              <w:rPr>
                <w:szCs w:val="22"/>
              </w:rPr>
              <w:t>X</w:t>
            </w:r>
          </w:p>
        </w:tc>
        <w:tc>
          <w:tcPr>
            <w:tcW w:w="576" w:type="dxa"/>
            <w:shd w:val="clear" w:color="auto" w:fill="auto"/>
          </w:tcPr>
          <w:p w:rsidR="00C00BEE" w:rsidRPr="00F944D9" w:rsidRDefault="00C00BEE" w:rsidP="00697FD6">
            <w:pPr>
              <w:pStyle w:val="Header"/>
              <w:spacing w:after="0" w:line="240" w:lineRule="auto"/>
              <w:rPr>
                <w:szCs w:val="22"/>
              </w:rPr>
            </w:pPr>
          </w:p>
        </w:tc>
      </w:tr>
      <w:tr w:rsidR="00F944D9" w:rsidRPr="00F944D9" w:rsidTr="002604D8">
        <w:tc>
          <w:tcPr>
            <w:tcW w:w="5472" w:type="dxa"/>
            <w:shd w:val="clear" w:color="auto" w:fill="auto"/>
          </w:tcPr>
          <w:p w:rsidR="00C00BEE" w:rsidRPr="00F944D9" w:rsidRDefault="00C00BEE" w:rsidP="00697FD6">
            <w:pPr>
              <w:pStyle w:val="Header"/>
              <w:spacing w:after="0" w:line="240" w:lineRule="auto"/>
              <w:rPr>
                <w:szCs w:val="22"/>
              </w:rPr>
            </w:pPr>
            <w:r w:rsidRPr="00F944D9">
              <w:rPr>
                <w:szCs w:val="22"/>
              </w:rPr>
              <w:t>Usefulness to your own analysis</w:t>
            </w: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983471" w:rsidP="00697FD6">
            <w:pPr>
              <w:pStyle w:val="Header"/>
              <w:spacing w:after="0" w:line="240" w:lineRule="auto"/>
              <w:rPr>
                <w:szCs w:val="22"/>
              </w:rPr>
            </w:pPr>
            <w:r w:rsidRPr="00F944D9">
              <w:rPr>
                <w:szCs w:val="22"/>
              </w:rPr>
              <w:t>X</w:t>
            </w:r>
          </w:p>
        </w:tc>
        <w:tc>
          <w:tcPr>
            <w:tcW w:w="576" w:type="dxa"/>
            <w:shd w:val="clear" w:color="auto" w:fill="auto"/>
          </w:tcPr>
          <w:p w:rsidR="00C00BEE" w:rsidRPr="00F944D9" w:rsidRDefault="00C00BEE" w:rsidP="00697FD6">
            <w:pPr>
              <w:pStyle w:val="Header"/>
              <w:spacing w:after="0" w:line="240" w:lineRule="auto"/>
              <w:rPr>
                <w:szCs w:val="22"/>
              </w:rPr>
            </w:pPr>
          </w:p>
        </w:tc>
      </w:tr>
      <w:tr w:rsidR="00F944D9" w:rsidRPr="00F944D9" w:rsidTr="002604D8">
        <w:tc>
          <w:tcPr>
            <w:tcW w:w="5472" w:type="dxa"/>
            <w:shd w:val="clear" w:color="auto" w:fill="auto"/>
          </w:tcPr>
          <w:p w:rsidR="00C00BEE" w:rsidRPr="00F944D9" w:rsidRDefault="00C00BEE" w:rsidP="00697FD6">
            <w:pPr>
              <w:pStyle w:val="Header"/>
              <w:spacing w:after="0" w:line="240" w:lineRule="auto"/>
              <w:rPr>
                <w:szCs w:val="22"/>
              </w:rPr>
            </w:pPr>
            <w:r w:rsidRPr="00F944D9">
              <w:rPr>
                <w:szCs w:val="22"/>
              </w:rPr>
              <w:t>Relevant questions</w:t>
            </w: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983471" w:rsidP="00697FD6">
            <w:pPr>
              <w:pStyle w:val="Header"/>
              <w:spacing w:after="0" w:line="240" w:lineRule="auto"/>
              <w:rPr>
                <w:szCs w:val="22"/>
              </w:rPr>
            </w:pPr>
            <w:r w:rsidRPr="00F944D9">
              <w:rPr>
                <w:szCs w:val="22"/>
              </w:rPr>
              <w:t>X</w:t>
            </w:r>
          </w:p>
        </w:tc>
        <w:tc>
          <w:tcPr>
            <w:tcW w:w="576" w:type="dxa"/>
            <w:shd w:val="clear" w:color="auto" w:fill="auto"/>
          </w:tcPr>
          <w:p w:rsidR="00C00BEE" w:rsidRPr="00F944D9" w:rsidRDefault="00C00BEE" w:rsidP="00697FD6">
            <w:pPr>
              <w:pStyle w:val="Header"/>
              <w:spacing w:after="0" w:line="240" w:lineRule="auto"/>
              <w:rPr>
                <w:szCs w:val="22"/>
              </w:rPr>
            </w:pPr>
          </w:p>
        </w:tc>
      </w:tr>
      <w:tr w:rsidR="00F944D9" w:rsidRPr="00F944D9" w:rsidTr="002604D8">
        <w:tc>
          <w:tcPr>
            <w:tcW w:w="5472" w:type="dxa"/>
            <w:shd w:val="clear" w:color="auto" w:fill="auto"/>
          </w:tcPr>
          <w:p w:rsidR="00C00BEE" w:rsidRPr="00F944D9" w:rsidRDefault="00C00BEE" w:rsidP="00697FD6">
            <w:pPr>
              <w:pStyle w:val="Header"/>
              <w:spacing w:after="0" w:line="240" w:lineRule="auto"/>
              <w:rPr>
                <w:szCs w:val="22"/>
              </w:rPr>
            </w:pPr>
            <w:r w:rsidRPr="00F944D9">
              <w:rPr>
                <w:szCs w:val="22"/>
              </w:rPr>
              <w:t>Space for discussions of qualitative data</w:t>
            </w: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983471" w:rsidP="00697FD6">
            <w:pPr>
              <w:pStyle w:val="Header"/>
              <w:spacing w:after="0" w:line="240" w:lineRule="auto"/>
              <w:rPr>
                <w:szCs w:val="22"/>
              </w:rPr>
            </w:pPr>
            <w:r w:rsidRPr="00F944D9">
              <w:rPr>
                <w:szCs w:val="22"/>
              </w:rPr>
              <w:t>X</w:t>
            </w:r>
          </w:p>
        </w:tc>
        <w:tc>
          <w:tcPr>
            <w:tcW w:w="576" w:type="dxa"/>
            <w:shd w:val="clear" w:color="auto" w:fill="auto"/>
          </w:tcPr>
          <w:p w:rsidR="00C00BEE" w:rsidRPr="00F944D9" w:rsidRDefault="00C00BEE" w:rsidP="00697FD6">
            <w:pPr>
              <w:pStyle w:val="Header"/>
              <w:spacing w:after="0" w:line="240" w:lineRule="auto"/>
              <w:rPr>
                <w:szCs w:val="22"/>
              </w:rPr>
            </w:pPr>
          </w:p>
        </w:tc>
      </w:tr>
    </w:tbl>
    <w:p w:rsidR="001648A5" w:rsidRPr="00F944D9" w:rsidRDefault="001648A5" w:rsidP="002844E4">
      <w:pPr>
        <w:pStyle w:val="Header"/>
        <w:tabs>
          <w:tab w:val="clear" w:pos="4680"/>
          <w:tab w:val="clear" w:pos="9360"/>
          <w:tab w:val="left" w:pos="6435"/>
        </w:tabs>
        <w:rPr>
          <w:b/>
        </w:rPr>
      </w:pPr>
    </w:p>
    <w:p w:rsidR="001648A5" w:rsidRPr="00097E80" w:rsidRDefault="001648A5" w:rsidP="002844E4">
      <w:pPr>
        <w:pStyle w:val="Header"/>
        <w:tabs>
          <w:tab w:val="clear" w:pos="4680"/>
          <w:tab w:val="clear" w:pos="9360"/>
          <w:tab w:val="left" w:pos="6435"/>
        </w:tabs>
        <w:rPr>
          <w:b/>
          <w:color w:val="FF0000"/>
        </w:rPr>
      </w:pPr>
    </w:p>
    <w:p w:rsidR="00EE6456" w:rsidRDefault="00EE6456" w:rsidP="002844E4">
      <w:pPr>
        <w:pStyle w:val="Header"/>
        <w:tabs>
          <w:tab w:val="clear" w:pos="4680"/>
          <w:tab w:val="clear" w:pos="9360"/>
          <w:tab w:val="left" w:pos="6435"/>
        </w:tabs>
      </w:pPr>
    </w:p>
    <w:p w:rsidR="00EE6456" w:rsidRDefault="00EE6456" w:rsidP="002844E4">
      <w:pPr>
        <w:pStyle w:val="Header"/>
        <w:tabs>
          <w:tab w:val="clear" w:pos="4680"/>
          <w:tab w:val="clear" w:pos="9360"/>
          <w:tab w:val="left" w:pos="6435"/>
        </w:tabs>
      </w:pPr>
    </w:p>
    <w:p w:rsidR="007803E2" w:rsidRDefault="007803E2" w:rsidP="002844E4">
      <w:pPr>
        <w:pStyle w:val="Header"/>
        <w:tabs>
          <w:tab w:val="clear" w:pos="4680"/>
          <w:tab w:val="clear" w:pos="9360"/>
          <w:tab w:val="left" w:pos="6435"/>
        </w:tabs>
      </w:pPr>
    </w:p>
    <w:p w:rsidR="007803E2" w:rsidRDefault="007803E2" w:rsidP="002844E4">
      <w:pPr>
        <w:pStyle w:val="Header"/>
        <w:tabs>
          <w:tab w:val="clear" w:pos="4680"/>
          <w:tab w:val="clear" w:pos="9360"/>
          <w:tab w:val="left" w:pos="6435"/>
        </w:tabs>
      </w:pPr>
    </w:p>
    <w:p w:rsidR="00520A0E" w:rsidRDefault="00520A0E" w:rsidP="002844E4">
      <w:pPr>
        <w:pStyle w:val="Header"/>
        <w:tabs>
          <w:tab w:val="clear" w:pos="4680"/>
          <w:tab w:val="clear" w:pos="9360"/>
          <w:tab w:val="left" w:pos="6435"/>
        </w:tabs>
      </w:pPr>
    </w:p>
    <w:p w:rsidR="00520A0E" w:rsidRDefault="00520A0E" w:rsidP="002844E4">
      <w:pPr>
        <w:pStyle w:val="Header"/>
        <w:tabs>
          <w:tab w:val="clear" w:pos="4680"/>
          <w:tab w:val="clear" w:pos="9360"/>
          <w:tab w:val="left" w:pos="6435"/>
        </w:tabs>
      </w:pPr>
    </w:p>
    <w:p w:rsidR="00520A0E" w:rsidRDefault="00520A0E" w:rsidP="002844E4">
      <w:pPr>
        <w:pStyle w:val="Header"/>
        <w:tabs>
          <w:tab w:val="clear" w:pos="4680"/>
          <w:tab w:val="clear" w:pos="9360"/>
          <w:tab w:val="left" w:pos="6435"/>
        </w:tabs>
      </w:pPr>
    </w:p>
    <w:p w:rsidR="00520A0E" w:rsidRDefault="00520A0E" w:rsidP="002844E4">
      <w:pPr>
        <w:pStyle w:val="Header"/>
        <w:tabs>
          <w:tab w:val="clear" w:pos="4680"/>
          <w:tab w:val="clear" w:pos="9360"/>
          <w:tab w:val="left" w:pos="6435"/>
        </w:tabs>
      </w:pPr>
    </w:p>
    <w:p w:rsidR="00520A0E" w:rsidRDefault="00520A0E" w:rsidP="002844E4">
      <w:pPr>
        <w:pStyle w:val="Header"/>
        <w:tabs>
          <w:tab w:val="clear" w:pos="4680"/>
          <w:tab w:val="clear" w:pos="9360"/>
          <w:tab w:val="left" w:pos="6435"/>
        </w:tabs>
      </w:pPr>
    </w:p>
    <w:p w:rsidR="00520A0E" w:rsidRDefault="00520A0E" w:rsidP="002844E4">
      <w:pPr>
        <w:pStyle w:val="Header"/>
        <w:tabs>
          <w:tab w:val="clear" w:pos="4680"/>
          <w:tab w:val="clear" w:pos="9360"/>
          <w:tab w:val="left" w:pos="6435"/>
        </w:tabs>
      </w:pPr>
    </w:p>
    <w:p w:rsidR="00520A0E" w:rsidRDefault="00520A0E" w:rsidP="002844E4">
      <w:pPr>
        <w:pStyle w:val="Header"/>
        <w:tabs>
          <w:tab w:val="clear" w:pos="4680"/>
          <w:tab w:val="clear" w:pos="9360"/>
          <w:tab w:val="left" w:pos="6435"/>
        </w:tabs>
      </w:pPr>
    </w:p>
    <w:p w:rsidR="00F4757C" w:rsidRPr="00F944D9" w:rsidRDefault="00EE6456" w:rsidP="002844E4">
      <w:pPr>
        <w:pStyle w:val="Header"/>
        <w:tabs>
          <w:tab w:val="clear" w:pos="4680"/>
          <w:tab w:val="clear" w:pos="9360"/>
          <w:tab w:val="left" w:pos="6435"/>
        </w:tabs>
      </w:pPr>
      <w:r>
        <w:t>Submitted</w:t>
      </w:r>
      <w:r w:rsidR="00F4757C" w:rsidRPr="00F944D9">
        <w:t xml:space="preserve"> by</w:t>
      </w:r>
      <w:r w:rsidR="009521D0" w:rsidRPr="00F944D9">
        <w:t>:</w:t>
      </w:r>
      <w:r w:rsidR="00C455D6" w:rsidRPr="00F944D9">
        <w:tab/>
      </w:r>
    </w:p>
    <w:p w:rsidR="00EE6456" w:rsidRDefault="00EE6456" w:rsidP="00F4757C">
      <w:pPr>
        <w:pStyle w:val="Header"/>
        <w:spacing w:after="0" w:line="240" w:lineRule="auto"/>
      </w:pPr>
    </w:p>
    <w:p w:rsidR="00EE6456" w:rsidRDefault="00EE6456" w:rsidP="00F4757C">
      <w:pPr>
        <w:pStyle w:val="Header"/>
        <w:spacing w:after="0" w:line="240" w:lineRule="auto"/>
      </w:pPr>
    </w:p>
    <w:p w:rsidR="00EE6456" w:rsidRDefault="00EE6456" w:rsidP="00F4757C">
      <w:pPr>
        <w:pStyle w:val="Header"/>
        <w:spacing w:after="0" w:line="240" w:lineRule="auto"/>
      </w:pPr>
    </w:p>
    <w:p w:rsidR="009521D0" w:rsidRPr="00F944D9" w:rsidRDefault="009521D0" w:rsidP="00F4757C">
      <w:pPr>
        <w:pStyle w:val="Header"/>
        <w:spacing w:after="0" w:line="240" w:lineRule="auto"/>
      </w:pPr>
      <w:r w:rsidRPr="00F944D9">
        <w:t>Khin May Shin</w:t>
      </w:r>
    </w:p>
    <w:p w:rsidR="00F4757C" w:rsidRPr="00F944D9" w:rsidRDefault="009521D0" w:rsidP="009521D0">
      <w:pPr>
        <w:pStyle w:val="Header"/>
        <w:tabs>
          <w:tab w:val="clear" w:pos="4680"/>
          <w:tab w:val="clear" w:pos="9360"/>
          <w:tab w:val="left" w:pos="5893"/>
        </w:tabs>
        <w:spacing w:after="0" w:line="240" w:lineRule="auto"/>
      </w:pPr>
      <w:r w:rsidRPr="00F944D9">
        <w:t>Microfinance Programme Analyst</w:t>
      </w:r>
      <w:r w:rsidRPr="00F944D9">
        <w:tab/>
      </w:r>
    </w:p>
    <w:p w:rsidR="009521D0" w:rsidRPr="00F944D9" w:rsidRDefault="009521D0" w:rsidP="00F4757C">
      <w:pPr>
        <w:pStyle w:val="Header"/>
        <w:spacing w:after="0" w:line="240" w:lineRule="auto"/>
      </w:pPr>
      <w:r w:rsidRPr="00F944D9">
        <w:t>UNDP</w:t>
      </w:r>
    </w:p>
    <w:p w:rsidR="009521D0" w:rsidRPr="00097E80" w:rsidRDefault="001F48BB" w:rsidP="009521D0">
      <w:pPr>
        <w:pStyle w:val="Header"/>
        <w:tabs>
          <w:tab w:val="clear" w:pos="4680"/>
          <w:tab w:val="clear" w:pos="9360"/>
          <w:tab w:val="left" w:pos="3400"/>
        </w:tabs>
        <w:rPr>
          <w:bCs/>
          <w:color w:val="FF0000"/>
        </w:rPr>
      </w:pPr>
      <w:r>
        <w:rPr>
          <w:bCs/>
        </w:rPr>
        <w:t>10</w:t>
      </w:r>
      <w:r w:rsidR="005A0CF4" w:rsidRPr="005A0CF4">
        <w:rPr>
          <w:bCs/>
          <w:vertAlign w:val="superscript"/>
        </w:rPr>
        <w:t>th</w:t>
      </w:r>
      <w:r w:rsidR="005A0CF4">
        <w:rPr>
          <w:bCs/>
        </w:rPr>
        <w:t xml:space="preserve"> March 2014</w:t>
      </w:r>
      <w:r w:rsidR="009521D0" w:rsidRPr="00097E80">
        <w:rPr>
          <w:bCs/>
          <w:color w:val="FF0000"/>
        </w:rPr>
        <w:tab/>
      </w:r>
    </w:p>
    <w:p w:rsidR="005C3F4A" w:rsidRPr="005C3F4A" w:rsidRDefault="005C3F4A" w:rsidP="005C3F4A">
      <w:pPr>
        <w:spacing w:before="120" w:after="120" w:line="240" w:lineRule="auto"/>
        <w:jc w:val="both"/>
        <w:rPr>
          <w:b/>
          <w:u w:val="single"/>
        </w:rPr>
      </w:pPr>
      <w:r w:rsidRPr="005C3F4A">
        <w:rPr>
          <w:b/>
          <w:u w:val="single"/>
        </w:rPr>
        <w:lastRenderedPageBreak/>
        <w:t>TABLES:</w:t>
      </w:r>
    </w:p>
    <w:p w:rsidR="005A0CF4" w:rsidRDefault="005A0CF4" w:rsidP="005C3F4A">
      <w:pPr>
        <w:spacing w:before="120" w:after="120" w:line="240" w:lineRule="auto"/>
        <w:jc w:val="both"/>
        <w:rPr>
          <w:b/>
        </w:rPr>
      </w:pPr>
    </w:p>
    <w:p w:rsidR="005C3F4A" w:rsidRPr="00F028F2" w:rsidRDefault="005C3F4A" w:rsidP="005C3F4A">
      <w:pPr>
        <w:spacing w:before="120" w:after="120" w:line="240" w:lineRule="auto"/>
        <w:jc w:val="both"/>
        <w:rPr>
          <w:b/>
        </w:rPr>
      </w:pPr>
      <w:r>
        <w:rPr>
          <w:b/>
        </w:rPr>
        <w:t xml:space="preserve">Table (1):   Target and accomplishment on </w:t>
      </w:r>
      <w:r w:rsidR="001B4111">
        <w:rPr>
          <w:b/>
        </w:rPr>
        <w:t xml:space="preserve">total </w:t>
      </w:r>
      <w:r>
        <w:rPr>
          <w:b/>
        </w:rPr>
        <w:t xml:space="preserve">loan disbursement </w:t>
      </w:r>
    </w:p>
    <w:tbl>
      <w:tblPr>
        <w:tblStyle w:val="LightGrid-Accent5"/>
        <w:tblW w:w="0" w:type="auto"/>
        <w:tblLayout w:type="fixed"/>
        <w:tblLook w:val="04A0" w:firstRow="1" w:lastRow="0" w:firstColumn="1" w:lastColumn="0" w:noHBand="0" w:noVBand="1"/>
      </w:tblPr>
      <w:tblGrid>
        <w:gridCol w:w="3136"/>
        <w:gridCol w:w="842"/>
        <w:gridCol w:w="1530"/>
        <w:gridCol w:w="867"/>
        <w:gridCol w:w="1473"/>
        <w:gridCol w:w="1080"/>
        <w:gridCol w:w="910"/>
      </w:tblGrid>
      <w:tr w:rsidR="005C3F4A" w:rsidRPr="009A1356" w:rsidTr="00280ED1">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136" w:type="dxa"/>
            <w:vMerge w:val="restart"/>
            <w:vAlign w:val="center"/>
          </w:tcPr>
          <w:p w:rsidR="005C3F4A" w:rsidRPr="009A1356" w:rsidRDefault="005C3F4A" w:rsidP="00280ED1">
            <w:pPr>
              <w:jc w:val="center"/>
              <w:rPr>
                <w:rFonts w:ascii="Garamond" w:hAnsi="Garamond" w:cstheme="minorHAnsi"/>
                <w:sz w:val="20"/>
                <w:szCs w:val="20"/>
              </w:rPr>
            </w:pPr>
            <w:r w:rsidRPr="009A1356">
              <w:rPr>
                <w:rFonts w:ascii="Garamond" w:hAnsi="Garamond" w:cstheme="minorHAnsi"/>
                <w:sz w:val="20"/>
                <w:szCs w:val="20"/>
              </w:rPr>
              <w:t>Type of loan</w:t>
            </w:r>
          </w:p>
        </w:tc>
        <w:tc>
          <w:tcPr>
            <w:tcW w:w="2372" w:type="dxa"/>
            <w:gridSpan w:val="2"/>
            <w:vAlign w:val="center"/>
          </w:tcPr>
          <w:p w:rsidR="005C3F4A" w:rsidRPr="009A1356" w:rsidRDefault="005C3F4A" w:rsidP="00280ED1">
            <w:pPr>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sz w:val="20"/>
                <w:szCs w:val="20"/>
              </w:rPr>
            </w:pPr>
            <w:r w:rsidRPr="009A1356">
              <w:rPr>
                <w:rFonts w:ascii="Garamond" w:hAnsi="Garamond" w:cstheme="minorHAnsi"/>
                <w:sz w:val="20"/>
                <w:szCs w:val="20"/>
              </w:rPr>
              <w:t>Year II 2013 Target</w:t>
            </w:r>
          </w:p>
        </w:tc>
        <w:tc>
          <w:tcPr>
            <w:tcW w:w="2340" w:type="dxa"/>
            <w:gridSpan w:val="2"/>
            <w:vAlign w:val="center"/>
          </w:tcPr>
          <w:p w:rsidR="005C3F4A" w:rsidRPr="009A1356" w:rsidRDefault="005C3F4A" w:rsidP="00280ED1">
            <w:pPr>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sz w:val="20"/>
                <w:szCs w:val="20"/>
              </w:rPr>
            </w:pPr>
            <w:r w:rsidRPr="009A1356">
              <w:rPr>
                <w:rFonts w:ascii="Garamond" w:hAnsi="Garamond" w:cstheme="minorHAnsi"/>
                <w:sz w:val="20"/>
                <w:szCs w:val="20"/>
              </w:rPr>
              <w:t>Accomplishment durin</w:t>
            </w:r>
            <w:r w:rsidR="00C754A5" w:rsidRPr="009A1356">
              <w:rPr>
                <w:rFonts w:ascii="Garamond" w:hAnsi="Garamond" w:cstheme="minorHAnsi"/>
                <w:sz w:val="20"/>
                <w:szCs w:val="20"/>
              </w:rPr>
              <w:t>g Jan-Dec</w:t>
            </w:r>
            <w:r w:rsidRPr="009A1356">
              <w:rPr>
                <w:rFonts w:ascii="Garamond" w:hAnsi="Garamond" w:cstheme="minorHAnsi"/>
                <w:sz w:val="20"/>
                <w:szCs w:val="20"/>
              </w:rPr>
              <w:t xml:space="preserve"> 2013</w:t>
            </w:r>
          </w:p>
        </w:tc>
        <w:tc>
          <w:tcPr>
            <w:tcW w:w="1990" w:type="dxa"/>
            <w:gridSpan w:val="2"/>
            <w:vAlign w:val="center"/>
          </w:tcPr>
          <w:p w:rsidR="005C3F4A" w:rsidRPr="009A1356" w:rsidRDefault="005C3F4A" w:rsidP="00280ED1">
            <w:pPr>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sz w:val="20"/>
                <w:szCs w:val="20"/>
              </w:rPr>
            </w:pPr>
            <w:r w:rsidRPr="009A1356">
              <w:rPr>
                <w:rFonts w:ascii="Garamond" w:hAnsi="Garamond" w:cstheme="minorHAnsi"/>
                <w:sz w:val="20"/>
                <w:szCs w:val="20"/>
              </w:rPr>
              <w:t>Percentage of the target</w:t>
            </w:r>
          </w:p>
        </w:tc>
      </w:tr>
      <w:tr w:rsidR="005C3F4A" w:rsidRPr="009A1356" w:rsidTr="00280ED1">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136" w:type="dxa"/>
            <w:vMerge/>
          </w:tcPr>
          <w:p w:rsidR="005C3F4A" w:rsidRPr="009A1356" w:rsidRDefault="005C3F4A" w:rsidP="00280ED1">
            <w:pPr>
              <w:rPr>
                <w:rFonts w:ascii="Garamond" w:hAnsi="Garamond" w:cstheme="minorHAnsi"/>
                <w:b w:val="0"/>
                <w:sz w:val="20"/>
                <w:szCs w:val="20"/>
              </w:rPr>
            </w:pPr>
          </w:p>
        </w:tc>
        <w:tc>
          <w:tcPr>
            <w:tcW w:w="842" w:type="dxa"/>
          </w:tcPr>
          <w:p w:rsidR="005C3F4A" w:rsidRPr="009A1356" w:rsidRDefault="005C3F4A" w:rsidP="00280ED1">
            <w:pPr>
              <w:jc w:val="cente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9A1356">
              <w:rPr>
                <w:rFonts w:ascii="Garamond" w:hAnsi="Garamond" w:cstheme="minorHAnsi"/>
                <w:sz w:val="20"/>
                <w:szCs w:val="20"/>
              </w:rPr>
              <w:t>No.</w:t>
            </w:r>
          </w:p>
        </w:tc>
        <w:tc>
          <w:tcPr>
            <w:tcW w:w="1530" w:type="dxa"/>
          </w:tcPr>
          <w:p w:rsidR="005C3F4A" w:rsidRPr="009A1356" w:rsidRDefault="005C3F4A" w:rsidP="00F23641">
            <w:pP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9A1356">
              <w:rPr>
                <w:rFonts w:ascii="Garamond" w:hAnsi="Garamond" w:cstheme="minorHAnsi"/>
                <w:sz w:val="20"/>
                <w:szCs w:val="20"/>
              </w:rPr>
              <w:t>Amount in US$</w:t>
            </w:r>
          </w:p>
        </w:tc>
        <w:tc>
          <w:tcPr>
            <w:tcW w:w="867" w:type="dxa"/>
          </w:tcPr>
          <w:p w:rsidR="005C3F4A" w:rsidRPr="009A1356" w:rsidRDefault="005C3F4A" w:rsidP="00280ED1">
            <w:pP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9A1356">
              <w:rPr>
                <w:rFonts w:ascii="Garamond" w:hAnsi="Garamond" w:cstheme="minorHAnsi"/>
                <w:sz w:val="20"/>
                <w:szCs w:val="20"/>
              </w:rPr>
              <w:t>No.</w:t>
            </w:r>
          </w:p>
        </w:tc>
        <w:tc>
          <w:tcPr>
            <w:tcW w:w="1473" w:type="dxa"/>
          </w:tcPr>
          <w:p w:rsidR="005C3F4A" w:rsidRPr="009A1356" w:rsidRDefault="005C3F4A" w:rsidP="00280ED1">
            <w:pP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9A1356">
              <w:rPr>
                <w:rFonts w:ascii="Garamond" w:hAnsi="Garamond" w:cstheme="minorHAnsi"/>
                <w:sz w:val="20"/>
                <w:szCs w:val="20"/>
              </w:rPr>
              <w:t>Amount in US$</w:t>
            </w:r>
          </w:p>
        </w:tc>
        <w:tc>
          <w:tcPr>
            <w:tcW w:w="1080" w:type="dxa"/>
          </w:tcPr>
          <w:p w:rsidR="005C3F4A" w:rsidRPr="009A1356" w:rsidRDefault="005C3F4A" w:rsidP="00280ED1">
            <w:pPr>
              <w:jc w:val="cente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9A1356">
              <w:rPr>
                <w:rFonts w:ascii="Garamond" w:hAnsi="Garamond" w:cstheme="minorHAnsi"/>
                <w:sz w:val="20"/>
                <w:szCs w:val="20"/>
              </w:rPr>
              <w:t>No.</w:t>
            </w:r>
          </w:p>
        </w:tc>
        <w:tc>
          <w:tcPr>
            <w:tcW w:w="910" w:type="dxa"/>
          </w:tcPr>
          <w:p w:rsidR="005C3F4A" w:rsidRPr="009A1356" w:rsidRDefault="005C3F4A" w:rsidP="00280ED1">
            <w:pP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9A1356">
              <w:rPr>
                <w:rFonts w:ascii="Garamond" w:hAnsi="Garamond" w:cstheme="minorHAnsi"/>
                <w:sz w:val="20"/>
                <w:szCs w:val="20"/>
              </w:rPr>
              <w:t xml:space="preserve">Amount </w:t>
            </w:r>
          </w:p>
        </w:tc>
      </w:tr>
      <w:tr w:rsidR="00255002" w:rsidRPr="009A1356" w:rsidTr="00255002">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36" w:type="dxa"/>
          </w:tcPr>
          <w:p w:rsidR="00255002" w:rsidRPr="009A1356" w:rsidRDefault="00255002" w:rsidP="00280ED1">
            <w:pPr>
              <w:spacing w:before="120"/>
              <w:rPr>
                <w:rFonts w:ascii="Garamond" w:hAnsi="Garamond"/>
                <w:b w:val="0"/>
                <w:sz w:val="20"/>
                <w:szCs w:val="20"/>
              </w:rPr>
            </w:pPr>
            <w:r w:rsidRPr="009A1356">
              <w:rPr>
                <w:rFonts w:ascii="Garamond" w:hAnsi="Garamond"/>
                <w:b w:val="0"/>
                <w:sz w:val="20"/>
                <w:szCs w:val="20"/>
              </w:rPr>
              <w:t>Agriculture loans</w:t>
            </w:r>
          </w:p>
        </w:tc>
        <w:tc>
          <w:tcPr>
            <w:tcW w:w="842" w:type="dxa"/>
            <w:vAlign w:val="bottom"/>
          </w:tcPr>
          <w:p w:rsidR="00255002" w:rsidRPr="009A1356" w:rsidRDefault="00255002" w:rsidP="00280ED1">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3,910</w:t>
            </w:r>
          </w:p>
        </w:tc>
        <w:tc>
          <w:tcPr>
            <w:tcW w:w="1530" w:type="dxa"/>
            <w:vAlign w:val="bottom"/>
          </w:tcPr>
          <w:p w:rsidR="00255002" w:rsidRPr="009A1356" w:rsidRDefault="00255002" w:rsidP="00280ED1">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475,990</w:t>
            </w:r>
          </w:p>
        </w:tc>
        <w:tc>
          <w:tcPr>
            <w:tcW w:w="867" w:type="dxa"/>
            <w:vAlign w:val="bottom"/>
          </w:tcPr>
          <w:p w:rsidR="00255002" w:rsidRPr="003E1B0A" w:rsidRDefault="00255002"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Pr>
                <w:rFonts w:ascii="Garamond" w:hAnsi="Garamond" w:cs="Calibri"/>
                <w:sz w:val="20"/>
                <w:szCs w:val="20"/>
              </w:rPr>
              <w:t>5,241</w:t>
            </w:r>
          </w:p>
        </w:tc>
        <w:tc>
          <w:tcPr>
            <w:tcW w:w="1473" w:type="dxa"/>
            <w:vAlign w:val="bottom"/>
          </w:tcPr>
          <w:p w:rsidR="00255002" w:rsidRPr="003E1B0A" w:rsidRDefault="00255002"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Pr>
                <w:rFonts w:ascii="Garamond" w:hAnsi="Garamond" w:cs="Calibri"/>
                <w:sz w:val="20"/>
                <w:szCs w:val="20"/>
              </w:rPr>
              <w:t>1,539,527</w:t>
            </w:r>
          </w:p>
        </w:tc>
        <w:tc>
          <w:tcPr>
            <w:tcW w:w="1080" w:type="dxa"/>
            <w:vAlign w:val="center"/>
          </w:tcPr>
          <w:p w:rsidR="00255002" w:rsidRDefault="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134%</w:t>
            </w:r>
          </w:p>
        </w:tc>
        <w:tc>
          <w:tcPr>
            <w:tcW w:w="910" w:type="dxa"/>
            <w:vAlign w:val="center"/>
          </w:tcPr>
          <w:p w:rsidR="00255002" w:rsidRDefault="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323%</w:t>
            </w:r>
          </w:p>
        </w:tc>
      </w:tr>
      <w:tr w:rsidR="00255002" w:rsidRPr="009A1356" w:rsidTr="0025500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36" w:type="dxa"/>
          </w:tcPr>
          <w:p w:rsidR="00255002" w:rsidRPr="009A1356" w:rsidRDefault="00255002" w:rsidP="00280ED1">
            <w:pPr>
              <w:spacing w:before="120"/>
              <w:rPr>
                <w:rFonts w:ascii="Garamond" w:hAnsi="Garamond"/>
                <w:b w:val="0"/>
                <w:sz w:val="20"/>
                <w:szCs w:val="20"/>
              </w:rPr>
            </w:pPr>
            <w:r w:rsidRPr="009A1356">
              <w:rPr>
                <w:rFonts w:ascii="Garamond" w:hAnsi="Garamond"/>
                <w:b w:val="0"/>
                <w:sz w:val="20"/>
                <w:szCs w:val="20"/>
              </w:rPr>
              <w:t>Livestock Loans</w:t>
            </w:r>
          </w:p>
        </w:tc>
        <w:tc>
          <w:tcPr>
            <w:tcW w:w="842" w:type="dxa"/>
            <w:vAlign w:val="bottom"/>
          </w:tcPr>
          <w:p w:rsidR="00255002" w:rsidRPr="009A1356" w:rsidRDefault="00255002" w:rsidP="00280ED1">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2,608</w:t>
            </w:r>
          </w:p>
        </w:tc>
        <w:tc>
          <w:tcPr>
            <w:tcW w:w="1530" w:type="dxa"/>
            <w:vAlign w:val="bottom"/>
          </w:tcPr>
          <w:p w:rsidR="00255002" w:rsidRPr="009A1356" w:rsidRDefault="00255002" w:rsidP="00280ED1">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95,844</w:t>
            </w:r>
          </w:p>
        </w:tc>
        <w:tc>
          <w:tcPr>
            <w:tcW w:w="867" w:type="dxa"/>
            <w:vAlign w:val="bottom"/>
          </w:tcPr>
          <w:p w:rsidR="00255002" w:rsidRPr="003E1B0A" w:rsidRDefault="00255002"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Pr>
                <w:rFonts w:ascii="Garamond" w:hAnsi="Garamond" w:cs="Calibri"/>
                <w:sz w:val="20"/>
                <w:szCs w:val="20"/>
              </w:rPr>
              <w:t>6,155</w:t>
            </w:r>
          </w:p>
        </w:tc>
        <w:tc>
          <w:tcPr>
            <w:tcW w:w="1473" w:type="dxa"/>
            <w:vAlign w:val="bottom"/>
          </w:tcPr>
          <w:p w:rsidR="00255002" w:rsidRPr="003E1B0A" w:rsidRDefault="00255002"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Pr>
                <w:rFonts w:ascii="Garamond" w:hAnsi="Garamond" w:cs="Calibri"/>
                <w:sz w:val="20"/>
                <w:szCs w:val="20"/>
              </w:rPr>
              <w:t>947,728</w:t>
            </w:r>
          </w:p>
        </w:tc>
        <w:tc>
          <w:tcPr>
            <w:tcW w:w="1080" w:type="dxa"/>
            <w:vAlign w:val="center"/>
          </w:tcPr>
          <w:p w:rsidR="00255002" w:rsidRDefault="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236%</w:t>
            </w:r>
          </w:p>
        </w:tc>
        <w:tc>
          <w:tcPr>
            <w:tcW w:w="910" w:type="dxa"/>
            <w:vAlign w:val="center"/>
          </w:tcPr>
          <w:p w:rsidR="00255002" w:rsidRDefault="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989%</w:t>
            </w:r>
          </w:p>
        </w:tc>
      </w:tr>
      <w:tr w:rsidR="00255002" w:rsidRPr="009A1356" w:rsidTr="00255002">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36" w:type="dxa"/>
          </w:tcPr>
          <w:p w:rsidR="00255002" w:rsidRPr="009A1356" w:rsidRDefault="00255002" w:rsidP="00280ED1">
            <w:pPr>
              <w:spacing w:before="120"/>
              <w:rPr>
                <w:rFonts w:ascii="Garamond" w:hAnsi="Garamond"/>
                <w:b w:val="0"/>
                <w:sz w:val="20"/>
                <w:szCs w:val="20"/>
              </w:rPr>
            </w:pPr>
            <w:r w:rsidRPr="009A1356">
              <w:rPr>
                <w:rFonts w:ascii="Garamond" w:hAnsi="Garamond"/>
                <w:b w:val="0"/>
                <w:sz w:val="20"/>
                <w:szCs w:val="20"/>
              </w:rPr>
              <w:t xml:space="preserve">Off-farm Loans </w:t>
            </w:r>
          </w:p>
        </w:tc>
        <w:tc>
          <w:tcPr>
            <w:tcW w:w="842" w:type="dxa"/>
            <w:vAlign w:val="bottom"/>
          </w:tcPr>
          <w:p w:rsidR="00255002" w:rsidRPr="009A1356" w:rsidRDefault="00255002" w:rsidP="00280ED1">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1,314</w:t>
            </w:r>
          </w:p>
        </w:tc>
        <w:tc>
          <w:tcPr>
            <w:tcW w:w="1530" w:type="dxa"/>
            <w:vAlign w:val="bottom"/>
          </w:tcPr>
          <w:p w:rsidR="00255002" w:rsidRPr="009A1356" w:rsidRDefault="00255002" w:rsidP="00280ED1">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47,628</w:t>
            </w:r>
          </w:p>
        </w:tc>
        <w:tc>
          <w:tcPr>
            <w:tcW w:w="867" w:type="dxa"/>
            <w:vAlign w:val="bottom"/>
          </w:tcPr>
          <w:p w:rsidR="00255002" w:rsidRPr="003E1B0A" w:rsidRDefault="00255002"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Pr>
                <w:rFonts w:ascii="Garamond" w:hAnsi="Garamond" w:cs="Calibri"/>
                <w:sz w:val="20"/>
                <w:szCs w:val="20"/>
              </w:rPr>
              <w:t>4,779</w:t>
            </w:r>
          </w:p>
        </w:tc>
        <w:tc>
          <w:tcPr>
            <w:tcW w:w="1473" w:type="dxa"/>
            <w:vAlign w:val="bottom"/>
          </w:tcPr>
          <w:p w:rsidR="00255002" w:rsidRPr="003E1B0A" w:rsidRDefault="00255002"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Pr>
                <w:rFonts w:ascii="Garamond" w:hAnsi="Garamond" w:cs="Calibri"/>
                <w:sz w:val="20"/>
                <w:szCs w:val="20"/>
              </w:rPr>
              <w:t>766,935</w:t>
            </w:r>
          </w:p>
        </w:tc>
        <w:tc>
          <w:tcPr>
            <w:tcW w:w="1080" w:type="dxa"/>
            <w:vAlign w:val="center"/>
          </w:tcPr>
          <w:p w:rsidR="00255002" w:rsidRDefault="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364%</w:t>
            </w:r>
          </w:p>
        </w:tc>
        <w:tc>
          <w:tcPr>
            <w:tcW w:w="910" w:type="dxa"/>
            <w:vAlign w:val="center"/>
          </w:tcPr>
          <w:p w:rsidR="00255002" w:rsidRDefault="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1610%</w:t>
            </w:r>
          </w:p>
        </w:tc>
      </w:tr>
      <w:tr w:rsidR="00255002" w:rsidRPr="009A1356" w:rsidTr="0025500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36" w:type="dxa"/>
          </w:tcPr>
          <w:p w:rsidR="00255002" w:rsidRPr="009A1356" w:rsidRDefault="00255002" w:rsidP="00280ED1">
            <w:pPr>
              <w:spacing w:before="120"/>
              <w:rPr>
                <w:rFonts w:ascii="Garamond" w:hAnsi="Garamond"/>
                <w:b w:val="0"/>
                <w:sz w:val="20"/>
                <w:szCs w:val="20"/>
              </w:rPr>
            </w:pPr>
            <w:r w:rsidRPr="009A1356">
              <w:rPr>
                <w:rFonts w:ascii="Garamond" w:hAnsi="Garamond"/>
                <w:b w:val="0"/>
                <w:sz w:val="20"/>
                <w:szCs w:val="20"/>
              </w:rPr>
              <w:t>Agro-trading loans</w:t>
            </w:r>
          </w:p>
        </w:tc>
        <w:tc>
          <w:tcPr>
            <w:tcW w:w="842" w:type="dxa"/>
            <w:vAlign w:val="bottom"/>
          </w:tcPr>
          <w:p w:rsidR="00255002" w:rsidRPr="009A1356" w:rsidRDefault="00255002" w:rsidP="00280ED1">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1,302</w:t>
            </w:r>
          </w:p>
        </w:tc>
        <w:tc>
          <w:tcPr>
            <w:tcW w:w="1530" w:type="dxa"/>
            <w:vAlign w:val="bottom"/>
          </w:tcPr>
          <w:p w:rsidR="00255002" w:rsidRPr="009A1356" w:rsidRDefault="00255002" w:rsidP="00280ED1">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48,069</w:t>
            </w:r>
          </w:p>
        </w:tc>
        <w:tc>
          <w:tcPr>
            <w:tcW w:w="867" w:type="dxa"/>
            <w:vAlign w:val="bottom"/>
          </w:tcPr>
          <w:p w:rsidR="00255002" w:rsidRPr="003E1B0A" w:rsidRDefault="00255002"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Pr>
                <w:rFonts w:ascii="Garamond" w:hAnsi="Garamond" w:cs="Calibri"/>
                <w:sz w:val="20"/>
                <w:szCs w:val="20"/>
              </w:rPr>
              <w:t>420</w:t>
            </w:r>
          </w:p>
        </w:tc>
        <w:tc>
          <w:tcPr>
            <w:tcW w:w="1473" w:type="dxa"/>
            <w:vAlign w:val="bottom"/>
          </w:tcPr>
          <w:p w:rsidR="00255002" w:rsidRPr="003E1B0A" w:rsidRDefault="00255002"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Pr>
                <w:rFonts w:ascii="Garamond" w:hAnsi="Garamond" w:cs="Calibri"/>
                <w:sz w:val="20"/>
                <w:szCs w:val="20"/>
              </w:rPr>
              <w:t>68,232</w:t>
            </w:r>
          </w:p>
        </w:tc>
        <w:tc>
          <w:tcPr>
            <w:tcW w:w="1080" w:type="dxa"/>
            <w:vAlign w:val="center"/>
          </w:tcPr>
          <w:p w:rsidR="00255002" w:rsidRDefault="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32%</w:t>
            </w:r>
          </w:p>
        </w:tc>
        <w:tc>
          <w:tcPr>
            <w:tcW w:w="910" w:type="dxa"/>
            <w:vAlign w:val="center"/>
          </w:tcPr>
          <w:p w:rsidR="00255002" w:rsidRDefault="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142%</w:t>
            </w:r>
          </w:p>
        </w:tc>
      </w:tr>
      <w:tr w:rsidR="00255002" w:rsidRPr="009A1356" w:rsidTr="00255002">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36" w:type="dxa"/>
          </w:tcPr>
          <w:p w:rsidR="00255002" w:rsidRPr="009A1356" w:rsidRDefault="00255002" w:rsidP="00280ED1">
            <w:pPr>
              <w:spacing w:before="120"/>
              <w:rPr>
                <w:rFonts w:ascii="Garamond" w:hAnsi="Garamond"/>
                <w:b w:val="0"/>
                <w:sz w:val="20"/>
                <w:szCs w:val="20"/>
              </w:rPr>
            </w:pPr>
            <w:r>
              <w:rPr>
                <w:rFonts w:ascii="Garamond" w:hAnsi="Garamond"/>
                <w:b w:val="0"/>
                <w:sz w:val="20"/>
                <w:szCs w:val="20"/>
              </w:rPr>
              <w:t>Other</w:t>
            </w:r>
            <w:r w:rsidRPr="009A1356">
              <w:rPr>
                <w:rFonts w:ascii="Garamond" w:hAnsi="Garamond"/>
                <w:b w:val="0"/>
                <w:sz w:val="20"/>
                <w:szCs w:val="20"/>
              </w:rPr>
              <w:t xml:space="preserve"> Loan</w:t>
            </w:r>
          </w:p>
        </w:tc>
        <w:tc>
          <w:tcPr>
            <w:tcW w:w="842" w:type="dxa"/>
            <w:vAlign w:val="bottom"/>
          </w:tcPr>
          <w:p w:rsidR="00255002" w:rsidRPr="009A1356" w:rsidRDefault="00255002" w:rsidP="00280ED1">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 </w:t>
            </w:r>
          </w:p>
        </w:tc>
        <w:tc>
          <w:tcPr>
            <w:tcW w:w="1530" w:type="dxa"/>
            <w:vAlign w:val="bottom"/>
          </w:tcPr>
          <w:p w:rsidR="00255002" w:rsidRPr="009A1356" w:rsidRDefault="00255002" w:rsidP="00280ED1">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 </w:t>
            </w:r>
          </w:p>
        </w:tc>
        <w:tc>
          <w:tcPr>
            <w:tcW w:w="867" w:type="dxa"/>
            <w:vAlign w:val="bottom"/>
          </w:tcPr>
          <w:p w:rsidR="00255002" w:rsidRPr="003E1B0A" w:rsidRDefault="00255002"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FF0000"/>
                <w:sz w:val="20"/>
                <w:szCs w:val="20"/>
              </w:rPr>
            </w:pPr>
            <w:r w:rsidRPr="00F3620A">
              <w:rPr>
                <w:rFonts w:ascii="Garamond" w:hAnsi="Garamond" w:cs="Calibri"/>
                <w:sz w:val="20"/>
                <w:szCs w:val="20"/>
              </w:rPr>
              <w:t>67</w:t>
            </w:r>
          </w:p>
        </w:tc>
        <w:tc>
          <w:tcPr>
            <w:tcW w:w="1473" w:type="dxa"/>
            <w:vAlign w:val="bottom"/>
          </w:tcPr>
          <w:p w:rsidR="00255002" w:rsidRPr="003E1B0A" w:rsidRDefault="00255002"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FF0000"/>
                <w:sz w:val="20"/>
                <w:szCs w:val="20"/>
              </w:rPr>
            </w:pPr>
            <w:r w:rsidRPr="00F3620A">
              <w:rPr>
                <w:rFonts w:ascii="Garamond" w:hAnsi="Garamond" w:cs="Calibri"/>
                <w:sz w:val="20"/>
                <w:szCs w:val="20"/>
              </w:rPr>
              <w:t>1,667</w:t>
            </w:r>
          </w:p>
        </w:tc>
        <w:tc>
          <w:tcPr>
            <w:tcW w:w="1080" w:type="dxa"/>
            <w:vAlign w:val="center"/>
          </w:tcPr>
          <w:p w:rsidR="00255002" w:rsidRDefault="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 </w:t>
            </w:r>
          </w:p>
        </w:tc>
        <w:tc>
          <w:tcPr>
            <w:tcW w:w="910" w:type="dxa"/>
            <w:vAlign w:val="center"/>
          </w:tcPr>
          <w:p w:rsidR="00255002" w:rsidRDefault="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 </w:t>
            </w:r>
          </w:p>
        </w:tc>
      </w:tr>
      <w:tr w:rsidR="00255002" w:rsidRPr="009A1356" w:rsidTr="0025500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36" w:type="dxa"/>
          </w:tcPr>
          <w:p w:rsidR="00255002" w:rsidRPr="009A1356" w:rsidRDefault="00255002" w:rsidP="00280ED1">
            <w:pPr>
              <w:spacing w:before="120"/>
              <w:rPr>
                <w:rFonts w:ascii="Garamond" w:hAnsi="Garamond"/>
                <w:b w:val="0"/>
                <w:sz w:val="20"/>
                <w:szCs w:val="20"/>
              </w:rPr>
            </w:pPr>
          </w:p>
        </w:tc>
        <w:tc>
          <w:tcPr>
            <w:tcW w:w="842" w:type="dxa"/>
            <w:vAlign w:val="bottom"/>
          </w:tcPr>
          <w:p w:rsidR="00255002" w:rsidRPr="009A1356" w:rsidRDefault="00255002" w:rsidP="00280ED1">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 </w:t>
            </w:r>
          </w:p>
        </w:tc>
        <w:tc>
          <w:tcPr>
            <w:tcW w:w="1530" w:type="dxa"/>
            <w:vAlign w:val="bottom"/>
          </w:tcPr>
          <w:p w:rsidR="00255002" w:rsidRPr="009A1356" w:rsidRDefault="00255002" w:rsidP="00280ED1">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 </w:t>
            </w:r>
          </w:p>
        </w:tc>
        <w:tc>
          <w:tcPr>
            <w:tcW w:w="867" w:type="dxa"/>
            <w:vAlign w:val="bottom"/>
          </w:tcPr>
          <w:p w:rsidR="00255002" w:rsidRPr="003E1B0A" w:rsidRDefault="00255002"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p>
        </w:tc>
        <w:tc>
          <w:tcPr>
            <w:tcW w:w="1473" w:type="dxa"/>
            <w:vAlign w:val="bottom"/>
          </w:tcPr>
          <w:p w:rsidR="00255002" w:rsidRPr="003E1B0A" w:rsidRDefault="00255002"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p>
        </w:tc>
        <w:tc>
          <w:tcPr>
            <w:tcW w:w="1080" w:type="dxa"/>
            <w:vAlign w:val="center"/>
          </w:tcPr>
          <w:p w:rsidR="00255002" w:rsidRDefault="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 </w:t>
            </w:r>
          </w:p>
        </w:tc>
        <w:tc>
          <w:tcPr>
            <w:tcW w:w="910" w:type="dxa"/>
            <w:vAlign w:val="center"/>
          </w:tcPr>
          <w:p w:rsidR="00255002" w:rsidRDefault="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 </w:t>
            </w:r>
          </w:p>
        </w:tc>
      </w:tr>
      <w:tr w:rsidR="00255002" w:rsidRPr="009A1356" w:rsidTr="00255002">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36" w:type="dxa"/>
          </w:tcPr>
          <w:p w:rsidR="00255002" w:rsidRPr="009A1356" w:rsidRDefault="00255002" w:rsidP="00280ED1">
            <w:pPr>
              <w:spacing w:before="120"/>
              <w:rPr>
                <w:rFonts w:ascii="Garamond" w:hAnsi="Garamond"/>
                <w:b w:val="0"/>
                <w:sz w:val="20"/>
                <w:szCs w:val="20"/>
              </w:rPr>
            </w:pPr>
            <w:r w:rsidRPr="009A1356">
              <w:rPr>
                <w:rFonts w:ascii="Garamond" w:hAnsi="Garamond"/>
                <w:b w:val="0"/>
                <w:sz w:val="20"/>
                <w:szCs w:val="20"/>
              </w:rPr>
              <w:t>Total</w:t>
            </w:r>
          </w:p>
        </w:tc>
        <w:tc>
          <w:tcPr>
            <w:tcW w:w="842" w:type="dxa"/>
            <w:vAlign w:val="bottom"/>
          </w:tcPr>
          <w:p w:rsidR="00255002" w:rsidRPr="009A1356" w:rsidRDefault="00255002" w:rsidP="00280ED1">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9,134</w:t>
            </w:r>
          </w:p>
        </w:tc>
        <w:tc>
          <w:tcPr>
            <w:tcW w:w="1530" w:type="dxa"/>
            <w:vAlign w:val="bottom"/>
          </w:tcPr>
          <w:p w:rsidR="00255002" w:rsidRPr="009A1356" w:rsidRDefault="00255002" w:rsidP="00280ED1">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667,531</w:t>
            </w:r>
          </w:p>
        </w:tc>
        <w:tc>
          <w:tcPr>
            <w:tcW w:w="867" w:type="dxa"/>
            <w:vAlign w:val="bottom"/>
          </w:tcPr>
          <w:p w:rsidR="00255002" w:rsidRPr="003E1B0A" w:rsidRDefault="00255002"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Pr>
                <w:rFonts w:ascii="Garamond" w:hAnsi="Garamond" w:cs="Calibri"/>
                <w:sz w:val="20"/>
                <w:szCs w:val="20"/>
              </w:rPr>
              <w:t>16,662</w:t>
            </w:r>
          </w:p>
        </w:tc>
        <w:tc>
          <w:tcPr>
            <w:tcW w:w="1473" w:type="dxa"/>
            <w:vAlign w:val="bottom"/>
          </w:tcPr>
          <w:p w:rsidR="00255002" w:rsidRPr="003E1B0A" w:rsidRDefault="00255002"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Pr>
                <w:rFonts w:ascii="Garamond" w:hAnsi="Garamond" w:cs="Calibri"/>
                <w:sz w:val="20"/>
                <w:szCs w:val="20"/>
              </w:rPr>
              <w:t>3,324,089</w:t>
            </w:r>
          </w:p>
        </w:tc>
        <w:tc>
          <w:tcPr>
            <w:tcW w:w="1080" w:type="dxa"/>
            <w:vAlign w:val="center"/>
          </w:tcPr>
          <w:p w:rsidR="00255002" w:rsidRDefault="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182%</w:t>
            </w:r>
          </w:p>
        </w:tc>
        <w:tc>
          <w:tcPr>
            <w:tcW w:w="910" w:type="dxa"/>
            <w:vAlign w:val="center"/>
          </w:tcPr>
          <w:p w:rsidR="00255002" w:rsidRDefault="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498%</w:t>
            </w:r>
          </w:p>
        </w:tc>
      </w:tr>
    </w:tbl>
    <w:p w:rsidR="004A1D6D" w:rsidRDefault="004A1D6D" w:rsidP="005A0CF4">
      <w:pPr>
        <w:rPr>
          <w:b/>
        </w:rPr>
      </w:pPr>
    </w:p>
    <w:p w:rsidR="001B4111" w:rsidRDefault="001B4111" w:rsidP="001B4111">
      <w:pPr>
        <w:spacing w:before="120" w:after="120" w:line="240" w:lineRule="auto"/>
        <w:jc w:val="both"/>
        <w:rPr>
          <w:b/>
        </w:rPr>
      </w:pPr>
      <w:r>
        <w:rPr>
          <w:b/>
        </w:rPr>
        <w:t xml:space="preserve">Table (2):   Target and accomplishment on new loan disbursement </w:t>
      </w:r>
    </w:p>
    <w:tbl>
      <w:tblPr>
        <w:tblStyle w:val="LightGrid-Accent5"/>
        <w:tblW w:w="0" w:type="auto"/>
        <w:tblLayout w:type="fixed"/>
        <w:tblLook w:val="04A0" w:firstRow="1" w:lastRow="0" w:firstColumn="1" w:lastColumn="0" w:noHBand="0" w:noVBand="1"/>
      </w:tblPr>
      <w:tblGrid>
        <w:gridCol w:w="3136"/>
        <w:gridCol w:w="842"/>
        <w:gridCol w:w="1530"/>
        <w:gridCol w:w="867"/>
        <w:gridCol w:w="1473"/>
        <w:gridCol w:w="1080"/>
        <w:gridCol w:w="910"/>
      </w:tblGrid>
      <w:tr w:rsidR="001B4111" w:rsidRPr="003E1B0A" w:rsidTr="00255002">
        <w:trPr>
          <w:cnfStyle w:val="100000000000" w:firstRow="1" w:lastRow="0" w:firstColumn="0" w:lastColumn="0" w:oddVBand="0" w:evenVBand="0" w:oddHBand="0" w:evenHBand="0" w:firstRowFirstColumn="0" w:firstRowLastColumn="0" w:lastRowFirstColumn="0" w:lastRowLastColumn="0"/>
          <w:trHeight w:hRule="exact" w:val="524"/>
        </w:trPr>
        <w:tc>
          <w:tcPr>
            <w:cnfStyle w:val="001000000000" w:firstRow="0" w:lastRow="0" w:firstColumn="1" w:lastColumn="0" w:oddVBand="0" w:evenVBand="0" w:oddHBand="0" w:evenHBand="0" w:firstRowFirstColumn="0" w:firstRowLastColumn="0" w:lastRowFirstColumn="0" w:lastRowLastColumn="0"/>
            <w:tcW w:w="3136" w:type="dxa"/>
            <w:vMerge w:val="restart"/>
            <w:vAlign w:val="center"/>
          </w:tcPr>
          <w:p w:rsidR="001B4111" w:rsidRPr="003E1B0A" w:rsidRDefault="001B4111" w:rsidP="00255002">
            <w:pPr>
              <w:jc w:val="center"/>
              <w:rPr>
                <w:rFonts w:ascii="Garamond" w:hAnsi="Garamond" w:cstheme="minorHAnsi"/>
                <w:sz w:val="20"/>
                <w:szCs w:val="20"/>
              </w:rPr>
            </w:pPr>
            <w:r w:rsidRPr="003E1B0A">
              <w:rPr>
                <w:rFonts w:ascii="Garamond" w:hAnsi="Garamond" w:cstheme="minorHAnsi"/>
                <w:sz w:val="20"/>
                <w:szCs w:val="20"/>
              </w:rPr>
              <w:t>Type of loan</w:t>
            </w:r>
          </w:p>
        </w:tc>
        <w:tc>
          <w:tcPr>
            <w:tcW w:w="2372" w:type="dxa"/>
            <w:gridSpan w:val="2"/>
            <w:vAlign w:val="center"/>
          </w:tcPr>
          <w:p w:rsidR="001B4111" w:rsidRPr="003E1B0A" w:rsidRDefault="001B4111" w:rsidP="00255002">
            <w:pPr>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sz w:val="20"/>
                <w:szCs w:val="20"/>
              </w:rPr>
            </w:pPr>
            <w:r w:rsidRPr="003E1B0A">
              <w:rPr>
                <w:rFonts w:ascii="Garamond" w:hAnsi="Garamond" w:cstheme="minorHAnsi"/>
                <w:sz w:val="20"/>
                <w:szCs w:val="20"/>
              </w:rPr>
              <w:t>Year II 2013 Target</w:t>
            </w:r>
            <w:r w:rsidRPr="003E1B0A">
              <w:rPr>
                <w:rStyle w:val="FootnoteReference"/>
                <w:rFonts w:ascii="Garamond" w:hAnsi="Garamond" w:cstheme="minorHAnsi"/>
                <w:sz w:val="20"/>
                <w:szCs w:val="20"/>
              </w:rPr>
              <w:footnoteReference w:id="2"/>
            </w:r>
          </w:p>
        </w:tc>
        <w:tc>
          <w:tcPr>
            <w:tcW w:w="2340" w:type="dxa"/>
            <w:gridSpan w:val="2"/>
            <w:vAlign w:val="center"/>
          </w:tcPr>
          <w:p w:rsidR="001B4111" w:rsidRPr="003E1B0A" w:rsidRDefault="001B4111" w:rsidP="00255002">
            <w:pPr>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sz w:val="20"/>
                <w:szCs w:val="20"/>
              </w:rPr>
            </w:pPr>
            <w:r w:rsidRPr="003E1B0A">
              <w:rPr>
                <w:rFonts w:ascii="Garamond" w:hAnsi="Garamond" w:cstheme="minorHAnsi"/>
                <w:sz w:val="20"/>
                <w:szCs w:val="20"/>
              </w:rPr>
              <w:t>Accomplishment during Jan-Dec 2013</w:t>
            </w:r>
          </w:p>
        </w:tc>
        <w:tc>
          <w:tcPr>
            <w:tcW w:w="1990" w:type="dxa"/>
            <w:gridSpan w:val="2"/>
            <w:vAlign w:val="center"/>
          </w:tcPr>
          <w:p w:rsidR="001B4111" w:rsidRPr="003E1B0A" w:rsidRDefault="001B4111" w:rsidP="00255002">
            <w:pPr>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sz w:val="20"/>
                <w:szCs w:val="20"/>
              </w:rPr>
            </w:pPr>
            <w:r w:rsidRPr="003E1B0A">
              <w:rPr>
                <w:rFonts w:ascii="Garamond" w:hAnsi="Garamond" w:cstheme="minorHAnsi"/>
                <w:sz w:val="20"/>
                <w:szCs w:val="20"/>
              </w:rPr>
              <w:t>Percentage of the target</w:t>
            </w:r>
          </w:p>
        </w:tc>
      </w:tr>
      <w:tr w:rsidR="001B4111" w:rsidRPr="003E1B0A" w:rsidTr="00255002">
        <w:trPr>
          <w:cnfStyle w:val="000000100000" w:firstRow="0" w:lastRow="0" w:firstColumn="0" w:lastColumn="0" w:oddVBand="0" w:evenVBand="0" w:oddHBand="1" w:evenHBand="0" w:firstRowFirstColumn="0" w:firstRowLastColumn="0" w:lastRowFirstColumn="0" w:lastRowLastColumn="0"/>
          <w:trHeight w:hRule="exact" w:val="297"/>
        </w:trPr>
        <w:tc>
          <w:tcPr>
            <w:cnfStyle w:val="001000000000" w:firstRow="0" w:lastRow="0" w:firstColumn="1" w:lastColumn="0" w:oddVBand="0" w:evenVBand="0" w:oddHBand="0" w:evenHBand="0" w:firstRowFirstColumn="0" w:firstRowLastColumn="0" w:lastRowFirstColumn="0" w:lastRowLastColumn="0"/>
            <w:tcW w:w="3136" w:type="dxa"/>
            <w:vMerge/>
          </w:tcPr>
          <w:p w:rsidR="001B4111" w:rsidRPr="003E1B0A" w:rsidRDefault="001B4111" w:rsidP="00255002">
            <w:pPr>
              <w:rPr>
                <w:rFonts w:ascii="Garamond" w:hAnsi="Garamond" w:cstheme="minorHAnsi"/>
                <w:b w:val="0"/>
                <w:sz w:val="20"/>
                <w:szCs w:val="20"/>
              </w:rPr>
            </w:pPr>
          </w:p>
        </w:tc>
        <w:tc>
          <w:tcPr>
            <w:tcW w:w="842" w:type="dxa"/>
          </w:tcPr>
          <w:p w:rsidR="001B4111" w:rsidRPr="003E1B0A" w:rsidRDefault="001B4111" w:rsidP="00255002">
            <w:pPr>
              <w:jc w:val="cente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3E1B0A">
              <w:rPr>
                <w:rFonts w:ascii="Garamond" w:hAnsi="Garamond" w:cstheme="minorHAnsi"/>
                <w:sz w:val="20"/>
                <w:szCs w:val="20"/>
              </w:rPr>
              <w:t>No.</w:t>
            </w:r>
          </w:p>
        </w:tc>
        <w:tc>
          <w:tcPr>
            <w:tcW w:w="1530" w:type="dxa"/>
          </w:tcPr>
          <w:p w:rsidR="001B4111" w:rsidRPr="003E1B0A" w:rsidRDefault="001B4111" w:rsidP="00255002">
            <w:pP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3E1B0A">
              <w:rPr>
                <w:rFonts w:ascii="Garamond" w:hAnsi="Garamond" w:cstheme="minorHAnsi"/>
                <w:sz w:val="20"/>
                <w:szCs w:val="20"/>
              </w:rPr>
              <w:t>Amount in US$</w:t>
            </w:r>
            <w:r w:rsidRPr="003E1B0A">
              <w:rPr>
                <w:rStyle w:val="FootnoteReference"/>
                <w:rFonts w:ascii="Garamond" w:hAnsi="Garamond" w:cstheme="minorHAnsi"/>
                <w:sz w:val="20"/>
                <w:szCs w:val="20"/>
              </w:rPr>
              <w:footnoteReference w:id="3"/>
            </w:r>
          </w:p>
        </w:tc>
        <w:tc>
          <w:tcPr>
            <w:tcW w:w="867" w:type="dxa"/>
          </w:tcPr>
          <w:p w:rsidR="001B4111" w:rsidRPr="003E1B0A" w:rsidRDefault="001B4111" w:rsidP="00255002">
            <w:pP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3E1B0A">
              <w:rPr>
                <w:rFonts w:ascii="Garamond" w:hAnsi="Garamond" w:cstheme="minorHAnsi"/>
                <w:sz w:val="20"/>
                <w:szCs w:val="20"/>
              </w:rPr>
              <w:t>No.</w:t>
            </w:r>
          </w:p>
        </w:tc>
        <w:tc>
          <w:tcPr>
            <w:tcW w:w="1473" w:type="dxa"/>
          </w:tcPr>
          <w:p w:rsidR="001B4111" w:rsidRPr="003E1B0A" w:rsidRDefault="001B4111" w:rsidP="00255002">
            <w:pP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3E1B0A">
              <w:rPr>
                <w:rFonts w:ascii="Garamond" w:hAnsi="Garamond" w:cstheme="minorHAnsi"/>
                <w:sz w:val="20"/>
                <w:szCs w:val="20"/>
              </w:rPr>
              <w:t>Amount in US$</w:t>
            </w:r>
          </w:p>
        </w:tc>
        <w:tc>
          <w:tcPr>
            <w:tcW w:w="1080" w:type="dxa"/>
          </w:tcPr>
          <w:p w:rsidR="001B4111" w:rsidRPr="003E1B0A" w:rsidRDefault="001B4111" w:rsidP="00255002">
            <w:pPr>
              <w:jc w:val="cente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3E1B0A">
              <w:rPr>
                <w:rFonts w:ascii="Garamond" w:hAnsi="Garamond" w:cstheme="minorHAnsi"/>
                <w:sz w:val="20"/>
                <w:szCs w:val="20"/>
              </w:rPr>
              <w:t>No.</w:t>
            </w:r>
          </w:p>
        </w:tc>
        <w:tc>
          <w:tcPr>
            <w:tcW w:w="910" w:type="dxa"/>
          </w:tcPr>
          <w:p w:rsidR="001B4111" w:rsidRPr="003E1B0A" w:rsidRDefault="001B4111" w:rsidP="00255002">
            <w:pP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3E1B0A">
              <w:rPr>
                <w:rFonts w:ascii="Garamond" w:hAnsi="Garamond" w:cstheme="minorHAnsi"/>
                <w:sz w:val="20"/>
                <w:szCs w:val="20"/>
              </w:rPr>
              <w:t xml:space="preserve">Amount </w:t>
            </w:r>
          </w:p>
        </w:tc>
      </w:tr>
      <w:tr w:rsidR="001B4111" w:rsidRPr="003E1B0A" w:rsidTr="00255002">
        <w:trPr>
          <w:cnfStyle w:val="000000010000" w:firstRow="0" w:lastRow="0" w:firstColumn="0" w:lastColumn="0" w:oddVBand="0" w:evenVBand="0" w:oddHBand="0" w:evenHBand="1" w:firstRowFirstColumn="0" w:firstRowLastColumn="0" w:lastRowFirstColumn="0" w:lastRowLastColumn="0"/>
          <w:trHeight w:hRule="exact" w:val="326"/>
        </w:trPr>
        <w:tc>
          <w:tcPr>
            <w:cnfStyle w:val="001000000000" w:firstRow="0" w:lastRow="0" w:firstColumn="1" w:lastColumn="0" w:oddVBand="0" w:evenVBand="0" w:oddHBand="0" w:evenHBand="0" w:firstRowFirstColumn="0" w:firstRowLastColumn="0" w:lastRowFirstColumn="0" w:lastRowLastColumn="0"/>
            <w:tcW w:w="3136" w:type="dxa"/>
          </w:tcPr>
          <w:p w:rsidR="001B4111" w:rsidRPr="003E1B0A" w:rsidRDefault="001B4111" w:rsidP="00255002">
            <w:pPr>
              <w:spacing w:before="120"/>
              <w:rPr>
                <w:rFonts w:ascii="Garamond" w:hAnsi="Garamond"/>
                <w:b w:val="0"/>
                <w:sz w:val="20"/>
                <w:szCs w:val="20"/>
              </w:rPr>
            </w:pPr>
            <w:r w:rsidRPr="003E1B0A">
              <w:rPr>
                <w:rFonts w:ascii="Garamond" w:hAnsi="Garamond"/>
                <w:b w:val="0"/>
                <w:sz w:val="20"/>
                <w:szCs w:val="20"/>
              </w:rPr>
              <w:t>Agriculture loans</w:t>
            </w:r>
          </w:p>
        </w:tc>
        <w:tc>
          <w:tcPr>
            <w:tcW w:w="842" w:type="dxa"/>
            <w:vAlign w:val="bottom"/>
          </w:tcPr>
          <w:p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652</w:t>
            </w:r>
          </w:p>
        </w:tc>
        <w:tc>
          <w:tcPr>
            <w:tcW w:w="1530" w:type="dxa"/>
            <w:vAlign w:val="bottom"/>
          </w:tcPr>
          <w:p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332,556</w:t>
            </w:r>
          </w:p>
        </w:tc>
        <w:tc>
          <w:tcPr>
            <w:tcW w:w="867" w:type="dxa"/>
            <w:vAlign w:val="bottom"/>
          </w:tcPr>
          <w:p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 xml:space="preserve">      506 </w:t>
            </w:r>
          </w:p>
        </w:tc>
        <w:tc>
          <w:tcPr>
            <w:tcW w:w="1473" w:type="dxa"/>
            <w:vAlign w:val="bottom"/>
          </w:tcPr>
          <w:p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 xml:space="preserve">     160,882 </w:t>
            </w:r>
          </w:p>
        </w:tc>
        <w:tc>
          <w:tcPr>
            <w:tcW w:w="1080" w:type="dxa"/>
            <w:vAlign w:val="bottom"/>
          </w:tcPr>
          <w:p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78%</w:t>
            </w:r>
          </w:p>
        </w:tc>
        <w:tc>
          <w:tcPr>
            <w:tcW w:w="910" w:type="dxa"/>
            <w:vAlign w:val="bottom"/>
          </w:tcPr>
          <w:p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48%</w:t>
            </w:r>
          </w:p>
        </w:tc>
      </w:tr>
      <w:tr w:rsidR="001B4111" w:rsidRPr="003E1B0A" w:rsidTr="00255002">
        <w:trPr>
          <w:cnfStyle w:val="000000100000" w:firstRow="0" w:lastRow="0" w:firstColumn="0" w:lastColumn="0" w:oddVBand="0" w:evenVBand="0" w:oddHBand="1" w:evenHBand="0" w:firstRowFirstColumn="0" w:firstRowLastColumn="0" w:lastRowFirstColumn="0" w:lastRowLastColumn="0"/>
          <w:trHeight w:hRule="exact" w:val="353"/>
        </w:trPr>
        <w:tc>
          <w:tcPr>
            <w:cnfStyle w:val="001000000000" w:firstRow="0" w:lastRow="0" w:firstColumn="1" w:lastColumn="0" w:oddVBand="0" w:evenVBand="0" w:oddHBand="0" w:evenHBand="0" w:firstRowFirstColumn="0" w:firstRowLastColumn="0" w:lastRowFirstColumn="0" w:lastRowLastColumn="0"/>
            <w:tcW w:w="3136" w:type="dxa"/>
          </w:tcPr>
          <w:p w:rsidR="001B4111" w:rsidRPr="003E1B0A" w:rsidRDefault="001B4111" w:rsidP="00255002">
            <w:pPr>
              <w:spacing w:before="120"/>
              <w:rPr>
                <w:rFonts w:ascii="Garamond" w:hAnsi="Garamond"/>
                <w:b w:val="0"/>
                <w:sz w:val="20"/>
                <w:szCs w:val="20"/>
              </w:rPr>
            </w:pPr>
            <w:r w:rsidRPr="003E1B0A">
              <w:rPr>
                <w:rFonts w:ascii="Garamond" w:hAnsi="Garamond"/>
                <w:b w:val="0"/>
                <w:sz w:val="20"/>
                <w:szCs w:val="20"/>
              </w:rPr>
              <w:t>Livestock Loans</w:t>
            </w:r>
          </w:p>
        </w:tc>
        <w:tc>
          <w:tcPr>
            <w:tcW w:w="842" w:type="dxa"/>
            <w:vAlign w:val="bottom"/>
          </w:tcPr>
          <w:p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977</w:t>
            </w:r>
          </w:p>
        </w:tc>
        <w:tc>
          <w:tcPr>
            <w:tcW w:w="1530" w:type="dxa"/>
            <w:vAlign w:val="bottom"/>
          </w:tcPr>
          <w:p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179,697</w:t>
            </w:r>
          </w:p>
        </w:tc>
        <w:tc>
          <w:tcPr>
            <w:tcW w:w="867" w:type="dxa"/>
            <w:vAlign w:val="bottom"/>
          </w:tcPr>
          <w:p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 xml:space="preserve">   1,918 </w:t>
            </w:r>
          </w:p>
        </w:tc>
        <w:tc>
          <w:tcPr>
            <w:tcW w:w="1473" w:type="dxa"/>
            <w:vAlign w:val="bottom"/>
          </w:tcPr>
          <w:p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 xml:space="preserve">     348,897 </w:t>
            </w:r>
          </w:p>
        </w:tc>
        <w:tc>
          <w:tcPr>
            <w:tcW w:w="1080" w:type="dxa"/>
            <w:vAlign w:val="bottom"/>
          </w:tcPr>
          <w:p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196%</w:t>
            </w:r>
          </w:p>
        </w:tc>
        <w:tc>
          <w:tcPr>
            <w:tcW w:w="910" w:type="dxa"/>
            <w:vAlign w:val="bottom"/>
          </w:tcPr>
          <w:p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194%</w:t>
            </w:r>
          </w:p>
        </w:tc>
      </w:tr>
      <w:tr w:rsidR="001B4111" w:rsidRPr="003E1B0A" w:rsidTr="00255002">
        <w:trPr>
          <w:cnfStyle w:val="000000010000" w:firstRow="0" w:lastRow="0" w:firstColumn="0" w:lastColumn="0" w:oddVBand="0" w:evenVBand="0" w:oddHBand="0" w:evenHBand="1"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3136" w:type="dxa"/>
          </w:tcPr>
          <w:p w:rsidR="001B4111" w:rsidRPr="003E1B0A" w:rsidRDefault="001B4111" w:rsidP="00255002">
            <w:pPr>
              <w:spacing w:before="120"/>
              <w:rPr>
                <w:rFonts w:ascii="Garamond" w:hAnsi="Garamond"/>
                <w:b w:val="0"/>
                <w:sz w:val="20"/>
                <w:szCs w:val="20"/>
              </w:rPr>
            </w:pPr>
            <w:r w:rsidRPr="003E1B0A">
              <w:rPr>
                <w:rFonts w:ascii="Garamond" w:hAnsi="Garamond"/>
                <w:b w:val="0"/>
                <w:sz w:val="20"/>
                <w:szCs w:val="20"/>
              </w:rPr>
              <w:t xml:space="preserve">Off-farm Loans  </w:t>
            </w:r>
          </w:p>
        </w:tc>
        <w:tc>
          <w:tcPr>
            <w:tcW w:w="842" w:type="dxa"/>
            <w:vAlign w:val="bottom"/>
          </w:tcPr>
          <w:p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1,470</w:t>
            </w:r>
          </w:p>
        </w:tc>
        <w:tc>
          <w:tcPr>
            <w:tcW w:w="1530" w:type="dxa"/>
            <w:vAlign w:val="bottom"/>
          </w:tcPr>
          <w:p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269,271</w:t>
            </w:r>
          </w:p>
        </w:tc>
        <w:tc>
          <w:tcPr>
            <w:tcW w:w="867" w:type="dxa"/>
            <w:vAlign w:val="bottom"/>
          </w:tcPr>
          <w:p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 xml:space="preserve">   2,605 </w:t>
            </w:r>
          </w:p>
        </w:tc>
        <w:tc>
          <w:tcPr>
            <w:tcW w:w="1473" w:type="dxa"/>
            <w:vAlign w:val="bottom"/>
          </w:tcPr>
          <w:p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 xml:space="preserve">     474,340 </w:t>
            </w:r>
          </w:p>
        </w:tc>
        <w:tc>
          <w:tcPr>
            <w:tcW w:w="1080" w:type="dxa"/>
            <w:vAlign w:val="bottom"/>
          </w:tcPr>
          <w:p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177%</w:t>
            </w:r>
          </w:p>
        </w:tc>
        <w:tc>
          <w:tcPr>
            <w:tcW w:w="910" w:type="dxa"/>
            <w:vAlign w:val="bottom"/>
          </w:tcPr>
          <w:p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176%</w:t>
            </w:r>
          </w:p>
        </w:tc>
      </w:tr>
      <w:tr w:rsidR="001B4111" w:rsidRPr="003E1B0A" w:rsidTr="00255002">
        <w:trPr>
          <w:cnfStyle w:val="000000100000" w:firstRow="0" w:lastRow="0" w:firstColumn="0" w:lastColumn="0" w:oddVBand="0" w:evenVBand="0" w:oddHBand="1" w:evenHBand="0"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3136" w:type="dxa"/>
          </w:tcPr>
          <w:p w:rsidR="001B4111" w:rsidRPr="003E1B0A" w:rsidRDefault="001B4111" w:rsidP="00255002">
            <w:pPr>
              <w:spacing w:before="120"/>
              <w:rPr>
                <w:rFonts w:ascii="Garamond" w:hAnsi="Garamond"/>
                <w:b w:val="0"/>
                <w:sz w:val="20"/>
                <w:szCs w:val="20"/>
              </w:rPr>
            </w:pPr>
            <w:r w:rsidRPr="003E1B0A">
              <w:rPr>
                <w:rFonts w:ascii="Garamond" w:hAnsi="Garamond"/>
                <w:b w:val="0"/>
                <w:sz w:val="20"/>
                <w:szCs w:val="20"/>
              </w:rPr>
              <w:t>Agro-trading loans</w:t>
            </w:r>
          </w:p>
        </w:tc>
        <w:tc>
          <w:tcPr>
            <w:tcW w:w="842" w:type="dxa"/>
            <w:vAlign w:val="bottom"/>
          </w:tcPr>
          <w:p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162</w:t>
            </w:r>
          </w:p>
        </w:tc>
        <w:tc>
          <w:tcPr>
            <w:tcW w:w="1530" w:type="dxa"/>
            <w:vAlign w:val="bottom"/>
          </w:tcPr>
          <w:p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29,919</w:t>
            </w:r>
          </w:p>
        </w:tc>
        <w:tc>
          <w:tcPr>
            <w:tcW w:w="867" w:type="dxa"/>
            <w:vAlign w:val="bottom"/>
          </w:tcPr>
          <w:p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 xml:space="preserve">        46 </w:t>
            </w:r>
          </w:p>
        </w:tc>
        <w:tc>
          <w:tcPr>
            <w:tcW w:w="1473" w:type="dxa"/>
            <w:vAlign w:val="bottom"/>
          </w:tcPr>
          <w:p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 xml:space="preserve">       11,520 </w:t>
            </w:r>
          </w:p>
        </w:tc>
        <w:tc>
          <w:tcPr>
            <w:tcW w:w="1080" w:type="dxa"/>
            <w:vAlign w:val="bottom"/>
          </w:tcPr>
          <w:p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28%</w:t>
            </w:r>
          </w:p>
        </w:tc>
        <w:tc>
          <w:tcPr>
            <w:tcW w:w="910" w:type="dxa"/>
            <w:vAlign w:val="bottom"/>
          </w:tcPr>
          <w:p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39%</w:t>
            </w:r>
          </w:p>
        </w:tc>
      </w:tr>
      <w:tr w:rsidR="001B4111" w:rsidRPr="003E1B0A" w:rsidTr="00255002">
        <w:trPr>
          <w:cnfStyle w:val="000000010000" w:firstRow="0" w:lastRow="0" w:firstColumn="0" w:lastColumn="0" w:oddVBand="0" w:evenVBand="0" w:oddHBand="0" w:evenHBand="1" w:firstRowFirstColumn="0" w:firstRowLastColumn="0" w:lastRowFirstColumn="0" w:lastRowLastColumn="0"/>
          <w:trHeight w:hRule="exact" w:val="353"/>
        </w:trPr>
        <w:tc>
          <w:tcPr>
            <w:cnfStyle w:val="001000000000" w:firstRow="0" w:lastRow="0" w:firstColumn="1" w:lastColumn="0" w:oddVBand="0" w:evenVBand="0" w:oddHBand="0" w:evenHBand="0" w:firstRowFirstColumn="0" w:firstRowLastColumn="0" w:lastRowFirstColumn="0" w:lastRowLastColumn="0"/>
            <w:tcW w:w="3136" w:type="dxa"/>
          </w:tcPr>
          <w:p w:rsidR="001B4111" w:rsidRPr="003E1B0A" w:rsidRDefault="001B4111" w:rsidP="00255002">
            <w:pPr>
              <w:spacing w:before="120"/>
              <w:rPr>
                <w:rFonts w:ascii="Garamond" w:hAnsi="Garamond"/>
                <w:b w:val="0"/>
                <w:sz w:val="20"/>
                <w:szCs w:val="20"/>
              </w:rPr>
            </w:pPr>
            <w:r w:rsidRPr="003E1B0A">
              <w:rPr>
                <w:rFonts w:ascii="Garamond" w:hAnsi="Garamond"/>
                <w:b w:val="0"/>
                <w:sz w:val="20"/>
                <w:szCs w:val="20"/>
              </w:rPr>
              <w:t xml:space="preserve">Other loans </w:t>
            </w:r>
          </w:p>
        </w:tc>
        <w:tc>
          <w:tcPr>
            <w:tcW w:w="842" w:type="dxa"/>
            <w:vAlign w:val="bottom"/>
          </w:tcPr>
          <w:p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w:t>
            </w:r>
          </w:p>
        </w:tc>
        <w:tc>
          <w:tcPr>
            <w:tcW w:w="1530" w:type="dxa"/>
            <w:vAlign w:val="bottom"/>
          </w:tcPr>
          <w:p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w:t>
            </w:r>
          </w:p>
        </w:tc>
        <w:tc>
          <w:tcPr>
            <w:tcW w:w="867" w:type="dxa"/>
            <w:vAlign w:val="bottom"/>
          </w:tcPr>
          <w:p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 xml:space="preserve">       60 </w:t>
            </w:r>
          </w:p>
        </w:tc>
        <w:tc>
          <w:tcPr>
            <w:tcW w:w="1473" w:type="dxa"/>
            <w:vAlign w:val="bottom"/>
          </w:tcPr>
          <w:p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1,318</w:t>
            </w:r>
          </w:p>
        </w:tc>
        <w:tc>
          <w:tcPr>
            <w:tcW w:w="1080" w:type="dxa"/>
            <w:vAlign w:val="center"/>
          </w:tcPr>
          <w:p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FF0000"/>
                <w:sz w:val="20"/>
                <w:szCs w:val="20"/>
              </w:rPr>
            </w:pPr>
            <w:r w:rsidRPr="003E1B0A">
              <w:rPr>
                <w:rFonts w:ascii="Garamond" w:hAnsi="Garamond" w:cs="Calibri"/>
                <w:color w:val="FF0000"/>
                <w:sz w:val="20"/>
                <w:szCs w:val="20"/>
              </w:rPr>
              <w:t xml:space="preserve"> </w:t>
            </w:r>
          </w:p>
        </w:tc>
        <w:tc>
          <w:tcPr>
            <w:tcW w:w="910" w:type="dxa"/>
            <w:vAlign w:val="center"/>
          </w:tcPr>
          <w:p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FF0000"/>
                <w:sz w:val="20"/>
                <w:szCs w:val="20"/>
              </w:rPr>
            </w:pPr>
          </w:p>
        </w:tc>
      </w:tr>
      <w:tr w:rsidR="001B4111" w:rsidRPr="003E1B0A" w:rsidTr="0025500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136" w:type="dxa"/>
          </w:tcPr>
          <w:p w:rsidR="001B4111" w:rsidRPr="003E1B0A" w:rsidRDefault="001B4111" w:rsidP="00255002">
            <w:pPr>
              <w:spacing w:before="120"/>
              <w:rPr>
                <w:rFonts w:ascii="Garamond" w:hAnsi="Garamond"/>
                <w:b w:val="0"/>
                <w:sz w:val="20"/>
                <w:szCs w:val="20"/>
              </w:rPr>
            </w:pPr>
            <w:r w:rsidRPr="003E1B0A">
              <w:rPr>
                <w:rFonts w:ascii="Garamond" w:hAnsi="Garamond"/>
                <w:b w:val="0"/>
                <w:sz w:val="20"/>
                <w:szCs w:val="20"/>
              </w:rPr>
              <w:t>Total</w:t>
            </w:r>
          </w:p>
        </w:tc>
        <w:tc>
          <w:tcPr>
            <w:tcW w:w="842" w:type="dxa"/>
            <w:vAlign w:val="bottom"/>
          </w:tcPr>
          <w:p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3,261</w:t>
            </w:r>
          </w:p>
        </w:tc>
        <w:tc>
          <w:tcPr>
            <w:tcW w:w="1530" w:type="dxa"/>
            <w:vAlign w:val="bottom"/>
          </w:tcPr>
          <w:p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811,443</w:t>
            </w:r>
          </w:p>
        </w:tc>
        <w:tc>
          <w:tcPr>
            <w:tcW w:w="867" w:type="dxa"/>
            <w:vAlign w:val="bottom"/>
          </w:tcPr>
          <w:p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5,135</w:t>
            </w:r>
            <w:r w:rsidRPr="003E1B0A">
              <w:rPr>
                <w:rStyle w:val="FootnoteReference"/>
                <w:rFonts w:ascii="Garamond" w:hAnsi="Garamond" w:cs="Calibri"/>
                <w:sz w:val="20"/>
                <w:szCs w:val="20"/>
              </w:rPr>
              <w:footnoteReference w:id="4"/>
            </w:r>
          </w:p>
        </w:tc>
        <w:tc>
          <w:tcPr>
            <w:tcW w:w="1473" w:type="dxa"/>
            <w:vAlign w:val="bottom"/>
          </w:tcPr>
          <w:p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996,957</w:t>
            </w:r>
          </w:p>
        </w:tc>
        <w:tc>
          <w:tcPr>
            <w:tcW w:w="1080" w:type="dxa"/>
            <w:vAlign w:val="center"/>
          </w:tcPr>
          <w:p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157%</w:t>
            </w:r>
          </w:p>
        </w:tc>
        <w:tc>
          <w:tcPr>
            <w:tcW w:w="910" w:type="dxa"/>
            <w:vAlign w:val="center"/>
          </w:tcPr>
          <w:p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123%</w:t>
            </w:r>
          </w:p>
        </w:tc>
      </w:tr>
    </w:tbl>
    <w:p w:rsidR="004A1D6D" w:rsidRDefault="004A1D6D" w:rsidP="005A0CF4">
      <w:pPr>
        <w:rPr>
          <w:b/>
        </w:rPr>
      </w:pPr>
    </w:p>
    <w:p w:rsidR="001B4111" w:rsidRDefault="001B4111">
      <w:pPr>
        <w:rPr>
          <w:b/>
        </w:rPr>
      </w:pPr>
      <w:r>
        <w:rPr>
          <w:b/>
        </w:rPr>
        <w:br w:type="page"/>
      </w:r>
    </w:p>
    <w:p w:rsidR="006F1743" w:rsidRPr="005A0CF4" w:rsidRDefault="001B4111" w:rsidP="005A0CF4">
      <w:pPr>
        <w:rPr>
          <w:b/>
        </w:rPr>
      </w:pPr>
      <w:r w:rsidRPr="007803E2">
        <w:rPr>
          <w:b/>
        </w:rPr>
        <w:lastRenderedPageBreak/>
        <w:t>Table (3</w:t>
      </w:r>
      <w:r w:rsidR="006F1743" w:rsidRPr="007803E2">
        <w:rPr>
          <w:b/>
        </w:rPr>
        <w:t>): Summary of Ris</w:t>
      </w:r>
      <w:r w:rsidR="005A0CF4" w:rsidRPr="007803E2">
        <w:rPr>
          <w:b/>
        </w:rPr>
        <w:t>ks and Mitigation Measures (Dec</w:t>
      </w:r>
      <w:r w:rsidR="006F1743" w:rsidRPr="007803E2">
        <w:rPr>
          <w:b/>
        </w:rPr>
        <w:t xml:space="preserve"> 2013)</w:t>
      </w:r>
    </w:p>
    <w:tbl>
      <w:tblPr>
        <w:tblStyle w:val="TableGrid"/>
        <w:tblW w:w="96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276"/>
        <w:gridCol w:w="2021"/>
        <w:gridCol w:w="2561"/>
        <w:gridCol w:w="2789"/>
        <w:gridCol w:w="1039"/>
      </w:tblGrid>
      <w:tr w:rsidR="006F1743" w:rsidRPr="00F944D9" w:rsidTr="00221D64">
        <w:trPr>
          <w:cantSplit/>
        </w:trPr>
        <w:tc>
          <w:tcPr>
            <w:tcW w:w="1276" w:type="dxa"/>
            <w:tcBorders>
              <w:top w:val="single" w:sz="4" w:space="0" w:color="auto"/>
              <w:bottom w:val="single" w:sz="4" w:space="0" w:color="auto"/>
            </w:tcBorders>
          </w:tcPr>
          <w:p w:rsidR="006F1743" w:rsidRPr="00A76143" w:rsidRDefault="006F1743" w:rsidP="00221D64">
            <w:pPr>
              <w:rPr>
                <w:rFonts w:asciiTheme="minorHAnsi" w:hAnsiTheme="minorHAnsi" w:cstheme="minorHAnsi"/>
                <w:b/>
                <w:szCs w:val="22"/>
              </w:rPr>
            </w:pPr>
            <w:r w:rsidRPr="00A76143">
              <w:rPr>
                <w:rFonts w:asciiTheme="minorHAnsi" w:hAnsiTheme="minorHAnsi" w:cstheme="minorHAnsi"/>
                <w:b/>
                <w:szCs w:val="22"/>
              </w:rPr>
              <w:t xml:space="preserve">   Type</w:t>
            </w:r>
          </w:p>
        </w:tc>
        <w:tc>
          <w:tcPr>
            <w:tcW w:w="2021" w:type="dxa"/>
            <w:tcBorders>
              <w:top w:val="single" w:sz="4" w:space="0" w:color="auto"/>
              <w:bottom w:val="single" w:sz="4" w:space="0" w:color="auto"/>
            </w:tcBorders>
          </w:tcPr>
          <w:p w:rsidR="006F1743" w:rsidRPr="00A76143" w:rsidRDefault="006F1743" w:rsidP="00221D64">
            <w:pPr>
              <w:rPr>
                <w:rFonts w:asciiTheme="minorHAnsi" w:hAnsiTheme="minorHAnsi" w:cstheme="minorHAnsi"/>
                <w:b/>
                <w:szCs w:val="22"/>
              </w:rPr>
            </w:pPr>
            <w:r w:rsidRPr="00A76143">
              <w:rPr>
                <w:rFonts w:asciiTheme="minorHAnsi" w:hAnsiTheme="minorHAnsi" w:cstheme="minorHAnsi"/>
                <w:b/>
                <w:szCs w:val="22"/>
              </w:rPr>
              <w:t xml:space="preserve">Date Identified/modified </w:t>
            </w:r>
          </w:p>
        </w:tc>
        <w:tc>
          <w:tcPr>
            <w:tcW w:w="2561" w:type="dxa"/>
            <w:tcBorders>
              <w:top w:val="single" w:sz="4" w:space="0" w:color="auto"/>
              <w:bottom w:val="single" w:sz="4" w:space="0" w:color="auto"/>
            </w:tcBorders>
          </w:tcPr>
          <w:p w:rsidR="006F1743" w:rsidRPr="00A76143" w:rsidRDefault="006F1743" w:rsidP="00221D64">
            <w:pPr>
              <w:rPr>
                <w:rFonts w:asciiTheme="minorHAnsi" w:hAnsiTheme="minorHAnsi" w:cstheme="minorHAnsi"/>
                <w:b/>
                <w:szCs w:val="22"/>
              </w:rPr>
            </w:pPr>
            <w:r w:rsidRPr="00A76143">
              <w:rPr>
                <w:rFonts w:asciiTheme="minorHAnsi" w:hAnsiTheme="minorHAnsi" w:cstheme="minorHAnsi"/>
                <w:b/>
                <w:szCs w:val="22"/>
              </w:rPr>
              <w:t xml:space="preserve">    Description</w:t>
            </w:r>
          </w:p>
        </w:tc>
        <w:tc>
          <w:tcPr>
            <w:tcW w:w="2789" w:type="dxa"/>
            <w:tcBorders>
              <w:top w:val="single" w:sz="4" w:space="0" w:color="auto"/>
              <w:bottom w:val="single" w:sz="4" w:space="0" w:color="auto"/>
            </w:tcBorders>
          </w:tcPr>
          <w:p w:rsidR="006F1743" w:rsidRPr="00A76143" w:rsidRDefault="006F1743" w:rsidP="00221D64">
            <w:pPr>
              <w:rPr>
                <w:rFonts w:asciiTheme="minorHAnsi" w:hAnsiTheme="minorHAnsi" w:cstheme="minorHAnsi"/>
                <w:b/>
                <w:szCs w:val="22"/>
              </w:rPr>
            </w:pPr>
            <w:r w:rsidRPr="00A76143">
              <w:rPr>
                <w:rFonts w:asciiTheme="minorHAnsi" w:hAnsiTheme="minorHAnsi" w:cstheme="minorHAnsi"/>
                <w:b/>
                <w:szCs w:val="22"/>
              </w:rPr>
              <w:t xml:space="preserve">  Mitigation</w:t>
            </w:r>
          </w:p>
        </w:tc>
        <w:tc>
          <w:tcPr>
            <w:tcW w:w="1039" w:type="dxa"/>
            <w:tcBorders>
              <w:top w:val="single" w:sz="4" w:space="0" w:color="auto"/>
              <w:bottom w:val="single" w:sz="4" w:space="0" w:color="auto"/>
            </w:tcBorders>
          </w:tcPr>
          <w:p w:rsidR="006F1743" w:rsidRPr="00A76143" w:rsidRDefault="006F1743" w:rsidP="00221D64">
            <w:pPr>
              <w:rPr>
                <w:rFonts w:asciiTheme="minorHAnsi" w:hAnsiTheme="minorHAnsi" w:cstheme="minorHAnsi"/>
                <w:b/>
                <w:szCs w:val="22"/>
              </w:rPr>
            </w:pPr>
            <w:r w:rsidRPr="00A76143">
              <w:rPr>
                <w:rFonts w:asciiTheme="minorHAnsi" w:hAnsiTheme="minorHAnsi" w:cstheme="minorHAnsi"/>
                <w:b/>
                <w:szCs w:val="22"/>
              </w:rPr>
              <w:t>Impact</w:t>
            </w:r>
          </w:p>
        </w:tc>
      </w:tr>
      <w:tr w:rsidR="006F1743" w:rsidRPr="00F944D9" w:rsidTr="00221D64">
        <w:trPr>
          <w:cantSplit/>
          <w:trHeight w:val="1268"/>
        </w:trPr>
        <w:tc>
          <w:tcPr>
            <w:tcW w:w="1276" w:type="dxa"/>
            <w:tcBorders>
              <w:top w:val="single" w:sz="4" w:space="0" w:color="auto"/>
              <w:bottom w:val="single" w:sz="4" w:space="0" w:color="auto"/>
            </w:tcBorders>
          </w:tcPr>
          <w:p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Institutional</w:t>
            </w:r>
          </w:p>
        </w:tc>
        <w:tc>
          <w:tcPr>
            <w:tcW w:w="2021" w:type="dxa"/>
            <w:tcBorders>
              <w:top w:val="single" w:sz="4" w:space="0" w:color="auto"/>
              <w:bottom w:val="single" w:sz="4" w:space="0" w:color="auto"/>
            </w:tcBorders>
          </w:tcPr>
          <w:p w:rsidR="006F1743" w:rsidRPr="00A76143" w:rsidRDefault="006F1743" w:rsidP="00221D64">
            <w:pPr>
              <w:rPr>
                <w:rFonts w:asciiTheme="minorHAnsi" w:hAnsiTheme="minorHAnsi" w:cstheme="minorHAnsi"/>
                <w:sz w:val="20"/>
                <w:szCs w:val="20"/>
              </w:rPr>
            </w:pPr>
            <w:r>
              <w:rPr>
                <w:rFonts w:asciiTheme="minorHAnsi" w:hAnsiTheme="minorHAnsi" w:cstheme="minorHAnsi"/>
                <w:sz w:val="20"/>
                <w:szCs w:val="20"/>
              </w:rPr>
              <w:t>Feb</w:t>
            </w:r>
            <w:r w:rsidRPr="00A76143">
              <w:rPr>
                <w:rFonts w:asciiTheme="minorHAnsi" w:hAnsiTheme="minorHAnsi" w:cstheme="minorHAnsi"/>
                <w:sz w:val="20"/>
                <w:szCs w:val="20"/>
              </w:rPr>
              <w:t xml:space="preserve"> 2013</w:t>
            </w:r>
          </w:p>
          <w:p w:rsidR="006F1743" w:rsidRPr="00A76143" w:rsidRDefault="006F1743" w:rsidP="00221D64">
            <w:pPr>
              <w:rPr>
                <w:rFonts w:asciiTheme="minorHAnsi" w:hAnsiTheme="minorHAnsi" w:cstheme="minorHAnsi"/>
                <w:sz w:val="20"/>
                <w:szCs w:val="20"/>
              </w:rPr>
            </w:pPr>
          </w:p>
        </w:tc>
        <w:tc>
          <w:tcPr>
            <w:tcW w:w="2561" w:type="dxa"/>
            <w:tcBorders>
              <w:top w:val="single" w:sz="4" w:space="0" w:color="auto"/>
              <w:bottom w:val="single" w:sz="4" w:space="0" w:color="auto"/>
            </w:tcBorders>
          </w:tcPr>
          <w:p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 xml:space="preserve">The expected influx of a big crowd of new MF organizations may create confusions and  erode credit discipline   </w:t>
            </w:r>
          </w:p>
          <w:p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Many entrants on MF industry will focus on business approach rather than development approach by repatriation of profit and staying away from the POP who cannot create Win-Win environment for the business</w:t>
            </w:r>
            <w:r w:rsidR="005A0CF4">
              <w:rPr>
                <w:rFonts w:asciiTheme="minorHAnsi" w:hAnsiTheme="minorHAnsi" w:cstheme="minorHAnsi"/>
                <w:sz w:val="20"/>
                <w:szCs w:val="20"/>
              </w:rPr>
              <w:t>.</w:t>
            </w:r>
          </w:p>
        </w:tc>
        <w:tc>
          <w:tcPr>
            <w:tcW w:w="2789" w:type="dxa"/>
            <w:tcBorders>
              <w:top w:val="single" w:sz="4" w:space="0" w:color="auto"/>
              <w:bottom w:val="single" w:sz="4" w:space="0" w:color="auto"/>
            </w:tcBorders>
          </w:tcPr>
          <w:p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The Myanma Microfinance Supervisory Enterprise, Ministry of Finance &amp; Revenue oversees the regulation and supervision of MFIs.</w:t>
            </w:r>
          </w:p>
          <w:p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 xml:space="preserve">MF Laws discriminate profit making and non-profitmaking MF institution. We will review our loan products and not lose sight </w:t>
            </w:r>
            <w:r w:rsidR="004A1D6D">
              <w:rPr>
                <w:rFonts w:asciiTheme="minorHAnsi" w:hAnsiTheme="minorHAnsi" w:cstheme="minorHAnsi"/>
                <w:sz w:val="20"/>
                <w:szCs w:val="20"/>
              </w:rPr>
              <w:t xml:space="preserve">for loan products suitable for </w:t>
            </w:r>
            <w:r w:rsidRPr="00A76143">
              <w:rPr>
                <w:rFonts w:asciiTheme="minorHAnsi" w:hAnsiTheme="minorHAnsi" w:cstheme="minorHAnsi"/>
                <w:sz w:val="20"/>
                <w:szCs w:val="20"/>
              </w:rPr>
              <w:t>POP. We are planning to make branch-automation system in order that our managers can focus more on marketing management.</w:t>
            </w:r>
          </w:p>
        </w:tc>
        <w:tc>
          <w:tcPr>
            <w:tcW w:w="1039" w:type="dxa"/>
            <w:tcBorders>
              <w:top w:val="single" w:sz="4" w:space="0" w:color="auto"/>
              <w:bottom w:val="single" w:sz="4" w:space="0" w:color="auto"/>
            </w:tcBorders>
          </w:tcPr>
          <w:p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Low-medium</w:t>
            </w: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Medium</w:t>
            </w:r>
          </w:p>
        </w:tc>
      </w:tr>
      <w:tr w:rsidR="005A0CF4" w:rsidRPr="00E73678" w:rsidTr="005A0CF4">
        <w:trPr>
          <w:cantSplit/>
        </w:trPr>
        <w:tc>
          <w:tcPr>
            <w:tcW w:w="1276" w:type="dxa"/>
            <w:tcBorders>
              <w:top w:val="single" w:sz="4" w:space="0" w:color="auto"/>
              <w:bottom w:val="single" w:sz="4" w:space="0" w:color="auto"/>
            </w:tcBorders>
          </w:tcPr>
          <w:p w:rsidR="005A0CF4" w:rsidRPr="00645B09" w:rsidRDefault="005A0CF4" w:rsidP="00221D64">
            <w:pPr>
              <w:rPr>
                <w:rFonts w:asciiTheme="minorHAnsi" w:hAnsiTheme="minorHAnsi" w:cstheme="minorHAnsi"/>
                <w:sz w:val="20"/>
                <w:szCs w:val="20"/>
              </w:rPr>
            </w:pPr>
            <w:r w:rsidRPr="00645B09">
              <w:rPr>
                <w:rFonts w:asciiTheme="minorHAnsi" w:hAnsiTheme="minorHAnsi" w:cstheme="minorHAnsi"/>
                <w:sz w:val="20"/>
                <w:szCs w:val="20"/>
              </w:rPr>
              <w:t xml:space="preserve">Legal  </w:t>
            </w:r>
          </w:p>
        </w:tc>
        <w:tc>
          <w:tcPr>
            <w:tcW w:w="2021" w:type="dxa"/>
            <w:tcBorders>
              <w:top w:val="single" w:sz="4" w:space="0" w:color="auto"/>
              <w:bottom w:val="single" w:sz="4" w:space="0" w:color="auto"/>
            </w:tcBorders>
          </w:tcPr>
          <w:p w:rsidR="005A0CF4" w:rsidRDefault="005A0CF4" w:rsidP="00221D64">
            <w:pPr>
              <w:rPr>
                <w:rFonts w:asciiTheme="minorHAnsi" w:hAnsiTheme="minorHAnsi" w:cstheme="minorHAnsi"/>
                <w:sz w:val="20"/>
                <w:szCs w:val="20"/>
              </w:rPr>
            </w:pPr>
            <w:r w:rsidRPr="00645B09">
              <w:rPr>
                <w:rFonts w:asciiTheme="minorHAnsi" w:hAnsiTheme="minorHAnsi" w:cstheme="minorHAnsi"/>
                <w:sz w:val="20"/>
                <w:szCs w:val="20"/>
              </w:rPr>
              <w:t>Feb 2013</w:t>
            </w:r>
          </w:p>
          <w:p w:rsidR="005A0CF4" w:rsidRDefault="005A0CF4" w:rsidP="00221D64">
            <w:pPr>
              <w:rPr>
                <w:rFonts w:asciiTheme="minorHAnsi" w:hAnsiTheme="minorHAnsi" w:cstheme="minorHAnsi"/>
                <w:sz w:val="20"/>
                <w:szCs w:val="20"/>
              </w:rPr>
            </w:pPr>
          </w:p>
          <w:p w:rsidR="005A0CF4" w:rsidRDefault="005A0CF4" w:rsidP="00221D64">
            <w:pPr>
              <w:rPr>
                <w:rFonts w:asciiTheme="minorHAnsi" w:hAnsiTheme="minorHAnsi" w:cstheme="minorHAnsi"/>
                <w:sz w:val="20"/>
                <w:szCs w:val="20"/>
              </w:rPr>
            </w:pPr>
          </w:p>
          <w:p w:rsidR="005A0CF4" w:rsidRDefault="005A0CF4" w:rsidP="00221D64">
            <w:pPr>
              <w:rPr>
                <w:rFonts w:asciiTheme="minorHAnsi" w:hAnsiTheme="minorHAnsi" w:cstheme="minorHAnsi"/>
                <w:sz w:val="20"/>
                <w:szCs w:val="20"/>
              </w:rPr>
            </w:pPr>
          </w:p>
          <w:p w:rsidR="005A0CF4" w:rsidRDefault="005A0CF4" w:rsidP="00221D64">
            <w:pPr>
              <w:rPr>
                <w:rFonts w:asciiTheme="minorHAnsi" w:hAnsiTheme="minorHAnsi" w:cstheme="minorHAnsi"/>
                <w:sz w:val="20"/>
                <w:szCs w:val="20"/>
              </w:rPr>
            </w:pPr>
          </w:p>
          <w:p w:rsidR="005A0CF4" w:rsidRDefault="005A0CF4" w:rsidP="00221D64">
            <w:pPr>
              <w:rPr>
                <w:rFonts w:asciiTheme="minorHAnsi" w:hAnsiTheme="minorHAnsi" w:cstheme="minorHAnsi"/>
                <w:sz w:val="20"/>
                <w:szCs w:val="20"/>
              </w:rPr>
            </w:pPr>
          </w:p>
          <w:p w:rsidR="005A0CF4" w:rsidRDefault="005A0CF4" w:rsidP="00221D64">
            <w:pPr>
              <w:rPr>
                <w:rFonts w:asciiTheme="minorHAnsi" w:hAnsiTheme="minorHAnsi" w:cstheme="minorHAnsi"/>
                <w:sz w:val="20"/>
                <w:szCs w:val="20"/>
              </w:rPr>
            </w:pPr>
          </w:p>
          <w:p w:rsidR="005A0CF4" w:rsidRPr="00645B09" w:rsidRDefault="005A0CF4" w:rsidP="00221D64">
            <w:pPr>
              <w:rPr>
                <w:rFonts w:asciiTheme="minorHAnsi" w:hAnsiTheme="minorHAnsi" w:cstheme="minorHAnsi"/>
                <w:sz w:val="20"/>
                <w:szCs w:val="20"/>
              </w:rPr>
            </w:pPr>
            <w:r>
              <w:rPr>
                <w:rFonts w:asciiTheme="minorHAnsi" w:hAnsiTheme="minorHAnsi" w:cstheme="minorHAnsi"/>
                <w:sz w:val="20"/>
                <w:szCs w:val="20"/>
              </w:rPr>
              <w:t>Dec 2013</w:t>
            </w:r>
          </w:p>
        </w:tc>
        <w:tc>
          <w:tcPr>
            <w:tcW w:w="2561" w:type="dxa"/>
            <w:tcBorders>
              <w:top w:val="single" w:sz="4" w:space="0" w:color="auto"/>
              <w:bottom w:val="single" w:sz="4" w:space="0" w:color="auto"/>
            </w:tcBorders>
          </w:tcPr>
          <w:p w:rsidR="005A0CF4" w:rsidRPr="00645B09" w:rsidRDefault="005A0CF4" w:rsidP="00221D64">
            <w:pPr>
              <w:rPr>
                <w:rFonts w:asciiTheme="minorHAnsi" w:hAnsiTheme="minorHAnsi" w:cstheme="minorHAnsi"/>
                <w:sz w:val="20"/>
                <w:szCs w:val="20"/>
              </w:rPr>
            </w:pPr>
            <w:r w:rsidRPr="00645B09">
              <w:rPr>
                <w:rFonts w:asciiTheme="minorHAnsi" w:hAnsiTheme="minorHAnsi" w:cstheme="minorHAnsi"/>
                <w:sz w:val="20"/>
                <w:szCs w:val="20"/>
              </w:rPr>
              <w:t>The regulatory authority may impose restrictions such as interest caps, area expansion, etc.</w:t>
            </w:r>
          </w:p>
          <w:p w:rsidR="005A0CF4" w:rsidRDefault="005A0CF4" w:rsidP="00221D64">
            <w:pPr>
              <w:rPr>
                <w:rFonts w:asciiTheme="minorHAnsi" w:hAnsiTheme="minorHAnsi" w:cstheme="minorHAnsi"/>
                <w:sz w:val="20"/>
                <w:szCs w:val="20"/>
              </w:rPr>
            </w:pPr>
            <w:r w:rsidRPr="00645B09">
              <w:rPr>
                <w:rFonts w:asciiTheme="minorHAnsi" w:hAnsiTheme="minorHAnsi" w:cstheme="minorHAnsi"/>
                <w:sz w:val="20"/>
                <w:szCs w:val="20"/>
              </w:rPr>
              <w:t>Such kind of risk may resist now</w:t>
            </w:r>
          </w:p>
          <w:p w:rsidR="005A0CF4" w:rsidRDefault="005A0CF4" w:rsidP="00221D64">
            <w:pPr>
              <w:rPr>
                <w:rFonts w:asciiTheme="minorHAnsi" w:hAnsiTheme="minorHAnsi" w:cstheme="minorHAnsi"/>
                <w:sz w:val="20"/>
                <w:szCs w:val="20"/>
              </w:rPr>
            </w:pPr>
          </w:p>
          <w:p w:rsidR="005A0CF4" w:rsidRDefault="005A0CF4" w:rsidP="00221D64">
            <w:pPr>
              <w:rPr>
                <w:rFonts w:asciiTheme="minorHAnsi" w:hAnsiTheme="minorHAnsi" w:cstheme="minorHAnsi"/>
                <w:sz w:val="20"/>
                <w:szCs w:val="20"/>
              </w:rPr>
            </w:pPr>
            <w:r>
              <w:rPr>
                <w:rFonts w:asciiTheme="minorHAnsi" w:hAnsiTheme="minorHAnsi" w:cstheme="minorHAnsi"/>
                <w:sz w:val="20"/>
                <w:szCs w:val="20"/>
              </w:rPr>
              <w:t xml:space="preserve">MMSE may impose restriction on ceiling of Microenterprise loan, which will not be applicable to requirement of cash for micro business. This challenge might have impact on group loans meant for agro-trading. </w:t>
            </w:r>
          </w:p>
          <w:p w:rsidR="004A1D6D" w:rsidRPr="00645B09" w:rsidRDefault="004A1D6D" w:rsidP="00221D64">
            <w:pPr>
              <w:rPr>
                <w:rFonts w:asciiTheme="minorHAnsi" w:hAnsiTheme="minorHAnsi" w:cstheme="minorHAnsi"/>
                <w:sz w:val="20"/>
                <w:szCs w:val="20"/>
              </w:rPr>
            </w:pPr>
          </w:p>
        </w:tc>
        <w:tc>
          <w:tcPr>
            <w:tcW w:w="2789" w:type="dxa"/>
            <w:tcBorders>
              <w:top w:val="single" w:sz="4" w:space="0" w:color="auto"/>
              <w:bottom w:val="single" w:sz="4" w:space="0" w:color="auto"/>
            </w:tcBorders>
          </w:tcPr>
          <w:p w:rsidR="005A0CF4" w:rsidRPr="00645B09" w:rsidRDefault="005A0CF4" w:rsidP="00221D64">
            <w:pPr>
              <w:rPr>
                <w:rFonts w:asciiTheme="minorHAnsi" w:hAnsiTheme="minorHAnsi" w:cstheme="minorHAnsi"/>
                <w:sz w:val="20"/>
                <w:szCs w:val="20"/>
              </w:rPr>
            </w:pPr>
            <w:r w:rsidRPr="00645B09">
              <w:rPr>
                <w:rFonts w:asciiTheme="minorHAnsi" w:hAnsiTheme="minorHAnsi" w:cstheme="minorHAnsi"/>
                <w:sz w:val="20"/>
                <w:szCs w:val="20"/>
              </w:rPr>
              <w:t xml:space="preserve">The FIND project being implemented by World Bank in support of MMSE includes MF policy and regulatory support to the Government. </w:t>
            </w:r>
          </w:p>
          <w:p w:rsidR="005A0CF4" w:rsidRDefault="005A0CF4" w:rsidP="00221D64">
            <w:pPr>
              <w:rPr>
                <w:rFonts w:asciiTheme="minorHAnsi" w:hAnsiTheme="minorHAnsi" w:cstheme="minorHAnsi"/>
                <w:sz w:val="20"/>
                <w:szCs w:val="20"/>
              </w:rPr>
            </w:pPr>
          </w:p>
          <w:p w:rsidR="005A0CF4" w:rsidRDefault="005A0CF4" w:rsidP="00221D64">
            <w:pPr>
              <w:rPr>
                <w:rFonts w:asciiTheme="minorHAnsi" w:hAnsiTheme="minorHAnsi" w:cstheme="minorHAnsi"/>
                <w:sz w:val="20"/>
                <w:szCs w:val="20"/>
              </w:rPr>
            </w:pPr>
          </w:p>
          <w:p w:rsidR="005A0CF4" w:rsidRPr="00E410BF" w:rsidRDefault="005A0CF4" w:rsidP="00221D64">
            <w:pPr>
              <w:rPr>
                <w:rFonts w:asciiTheme="minorHAnsi" w:hAnsiTheme="minorHAnsi" w:cstheme="minorHAnsi"/>
                <w:sz w:val="20"/>
                <w:szCs w:val="20"/>
              </w:rPr>
            </w:pPr>
            <w:r w:rsidRPr="00E410BF">
              <w:rPr>
                <w:rFonts w:asciiTheme="minorHAnsi" w:hAnsiTheme="minorHAnsi" w:cstheme="minorHAnsi"/>
                <w:sz w:val="20"/>
                <w:szCs w:val="20"/>
              </w:rPr>
              <w:t xml:space="preserve">Liaise with MMSE to instruct them on importance of allowing MF to reach higher levels </w:t>
            </w:r>
          </w:p>
        </w:tc>
        <w:tc>
          <w:tcPr>
            <w:tcW w:w="1039" w:type="dxa"/>
            <w:tcBorders>
              <w:top w:val="single" w:sz="4" w:space="0" w:color="auto"/>
              <w:bottom w:val="single" w:sz="4" w:space="0" w:color="auto"/>
            </w:tcBorders>
          </w:tcPr>
          <w:p w:rsidR="005A0CF4" w:rsidRPr="00645B09" w:rsidRDefault="005A0CF4" w:rsidP="00221D64">
            <w:pPr>
              <w:rPr>
                <w:rFonts w:asciiTheme="minorHAnsi" w:hAnsiTheme="minorHAnsi" w:cstheme="minorHAnsi"/>
                <w:sz w:val="20"/>
                <w:szCs w:val="20"/>
              </w:rPr>
            </w:pPr>
            <w:r w:rsidRPr="00645B09">
              <w:rPr>
                <w:rFonts w:asciiTheme="minorHAnsi" w:hAnsiTheme="minorHAnsi" w:cstheme="minorHAnsi"/>
                <w:sz w:val="20"/>
                <w:szCs w:val="20"/>
              </w:rPr>
              <w:t>Low-Medium</w:t>
            </w:r>
          </w:p>
          <w:p w:rsidR="005A0CF4" w:rsidRPr="00645B09" w:rsidRDefault="005A0CF4" w:rsidP="00221D64">
            <w:pPr>
              <w:rPr>
                <w:rFonts w:asciiTheme="minorHAnsi" w:hAnsiTheme="minorHAnsi" w:cstheme="minorHAnsi"/>
                <w:sz w:val="20"/>
                <w:szCs w:val="20"/>
              </w:rPr>
            </w:pPr>
          </w:p>
          <w:p w:rsidR="005A0CF4" w:rsidRPr="00645B09" w:rsidRDefault="005A0CF4" w:rsidP="00221D64">
            <w:pPr>
              <w:rPr>
                <w:rFonts w:asciiTheme="minorHAnsi" w:hAnsiTheme="minorHAnsi" w:cstheme="minorHAnsi"/>
                <w:sz w:val="20"/>
                <w:szCs w:val="20"/>
              </w:rPr>
            </w:pPr>
          </w:p>
          <w:p w:rsidR="005A0CF4" w:rsidRPr="00645B09" w:rsidRDefault="005A0CF4" w:rsidP="00221D64">
            <w:pPr>
              <w:rPr>
                <w:rFonts w:asciiTheme="minorHAnsi" w:hAnsiTheme="minorHAnsi" w:cstheme="minorHAnsi"/>
                <w:sz w:val="20"/>
                <w:szCs w:val="20"/>
              </w:rPr>
            </w:pPr>
          </w:p>
          <w:p w:rsidR="005A0CF4" w:rsidRDefault="005A0CF4" w:rsidP="00221D64">
            <w:pPr>
              <w:rPr>
                <w:rFonts w:asciiTheme="minorHAnsi" w:hAnsiTheme="minorHAnsi" w:cstheme="minorHAnsi"/>
                <w:sz w:val="20"/>
                <w:szCs w:val="20"/>
              </w:rPr>
            </w:pPr>
          </w:p>
          <w:p w:rsidR="005A0CF4" w:rsidRDefault="005A0CF4" w:rsidP="00221D64">
            <w:pPr>
              <w:rPr>
                <w:rFonts w:asciiTheme="minorHAnsi" w:hAnsiTheme="minorHAnsi" w:cstheme="minorHAnsi"/>
                <w:sz w:val="20"/>
                <w:szCs w:val="20"/>
              </w:rPr>
            </w:pPr>
          </w:p>
          <w:p w:rsidR="005A0CF4" w:rsidRPr="00645B09" w:rsidRDefault="005A0CF4" w:rsidP="00221D64">
            <w:pPr>
              <w:rPr>
                <w:rFonts w:asciiTheme="minorHAnsi" w:hAnsiTheme="minorHAnsi" w:cstheme="minorHAnsi"/>
                <w:sz w:val="20"/>
                <w:szCs w:val="20"/>
              </w:rPr>
            </w:pPr>
            <w:r>
              <w:rPr>
                <w:rFonts w:asciiTheme="minorHAnsi" w:hAnsiTheme="minorHAnsi" w:cstheme="minorHAnsi"/>
                <w:sz w:val="20"/>
                <w:szCs w:val="20"/>
              </w:rPr>
              <w:t>Medium</w:t>
            </w:r>
          </w:p>
        </w:tc>
      </w:tr>
      <w:tr w:rsidR="006F1743" w:rsidRPr="005A0CF4" w:rsidTr="005A0CF4">
        <w:trPr>
          <w:cantSplit/>
          <w:trHeight w:val="953"/>
        </w:trPr>
        <w:tc>
          <w:tcPr>
            <w:tcW w:w="1276" w:type="dxa"/>
            <w:tcBorders>
              <w:bottom w:val="single" w:sz="4" w:space="0" w:color="auto"/>
            </w:tcBorders>
          </w:tcPr>
          <w:p w:rsidR="006F1743" w:rsidRPr="005A0CF4" w:rsidRDefault="006F1743" w:rsidP="00221D64">
            <w:r w:rsidRPr="005A0CF4">
              <w:t>Environ-mental</w:t>
            </w:r>
          </w:p>
        </w:tc>
        <w:tc>
          <w:tcPr>
            <w:tcW w:w="2021" w:type="dxa"/>
            <w:tcBorders>
              <w:bottom w:val="single" w:sz="4" w:space="0" w:color="auto"/>
            </w:tcBorders>
          </w:tcPr>
          <w:p w:rsidR="006F1743" w:rsidRPr="005A0CF4" w:rsidRDefault="006F1743" w:rsidP="00221D64">
            <w:r w:rsidRPr="005A0CF4">
              <w:t>Sept 2012</w:t>
            </w:r>
          </w:p>
          <w:p w:rsidR="006F1743" w:rsidRPr="005A0CF4" w:rsidRDefault="006F1743" w:rsidP="00221D64"/>
          <w:p w:rsidR="006F1743" w:rsidRPr="005A0CF4" w:rsidRDefault="006F1743" w:rsidP="00221D64"/>
          <w:p w:rsidR="006F1743" w:rsidRPr="005A0CF4" w:rsidRDefault="006F1743" w:rsidP="00221D64"/>
          <w:p w:rsidR="006F1743" w:rsidRPr="005A0CF4" w:rsidRDefault="006F1743" w:rsidP="00221D64"/>
          <w:p w:rsidR="006F1743" w:rsidRPr="005A0CF4" w:rsidRDefault="006F1743" w:rsidP="00221D64"/>
        </w:tc>
        <w:tc>
          <w:tcPr>
            <w:tcW w:w="2561" w:type="dxa"/>
            <w:tcBorders>
              <w:bottom w:val="single" w:sz="4" w:space="0" w:color="auto"/>
            </w:tcBorders>
          </w:tcPr>
          <w:p w:rsidR="006F1743" w:rsidRPr="005A0CF4" w:rsidRDefault="006F1743" w:rsidP="00221D64">
            <w:r w:rsidRPr="005A0CF4">
              <w:t xml:space="preserve">Climatic changes,  natural disasters and epidemic diseases may effect agriculture, livestock and </w:t>
            </w:r>
          </w:p>
          <w:p w:rsidR="006F1743" w:rsidRPr="005A0CF4" w:rsidRDefault="006F1743" w:rsidP="00221D64">
            <w:r w:rsidRPr="005A0CF4">
              <w:t>clients livelihood</w:t>
            </w:r>
          </w:p>
          <w:p w:rsidR="006F1743" w:rsidRPr="005A0CF4" w:rsidRDefault="006F1743" w:rsidP="00221D64"/>
        </w:tc>
        <w:tc>
          <w:tcPr>
            <w:tcW w:w="2789" w:type="dxa"/>
            <w:tcBorders>
              <w:bottom w:val="single" w:sz="4" w:space="0" w:color="auto"/>
            </w:tcBorders>
          </w:tcPr>
          <w:p w:rsidR="006F1743" w:rsidRPr="005A0CF4" w:rsidRDefault="006F1743" w:rsidP="00221D64">
            <w:r w:rsidRPr="005A0CF4">
              <w:t xml:space="preserve">Promote clients savings and strengthen beneficiary welfare program so that clients could better cope with emergencies </w:t>
            </w:r>
          </w:p>
          <w:p w:rsidR="004A1D6D" w:rsidRDefault="006F1743" w:rsidP="00221D64">
            <w:r w:rsidRPr="005A0CF4">
              <w:t>Closely work with CBDRM committee to educate clients on DRR preparedness, response, and mitigation strategies</w:t>
            </w:r>
            <w:r w:rsidR="004A1D6D">
              <w:t>.</w:t>
            </w:r>
          </w:p>
          <w:p w:rsidR="006F1743" w:rsidRPr="005A0CF4" w:rsidRDefault="006F1743" w:rsidP="00221D64">
            <w:r w:rsidRPr="005A0CF4">
              <w:t xml:space="preserve"> </w:t>
            </w:r>
          </w:p>
        </w:tc>
        <w:tc>
          <w:tcPr>
            <w:tcW w:w="1039" w:type="dxa"/>
            <w:tcBorders>
              <w:bottom w:val="single" w:sz="4" w:space="0" w:color="auto"/>
            </w:tcBorders>
          </w:tcPr>
          <w:p w:rsidR="006F1743" w:rsidRPr="005A0CF4" w:rsidRDefault="006F1743" w:rsidP="00221D64">
            <w:r w:rsidRPr="005A0CF4">
              <w:t>Medium-High</w:t>
            </w:r>
          </w:p>
        </w:tc>
      </w:tr>
      <w:tr w:rsidR="006F1743" w:rsidRPr="00A76143" w:rsidTr="00221D64">
        <w:trPr>
          <w:cantSplit/>
        </w:trPr>
        <w:tc>
          <w:tcPr>
            <w:tcW w:w="1276" w:type="dxa"/>
            <w:tcBorders>
              <w:top w:val="single" w:sz="4" w:space="0" w:color="auto"/>
              <w:bottom w:val="single" w:sz="4" w:space="0" w:color="auto"/>
            </w:tcBorders>
          </w:tcPr>
          <w:p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lastRenderedPageBreak/>
              <w:t>Macro-economic</w:t>
            </w:r>
          </w:p>
        </w:tc>
        <w:tc>
          <w:tcPr>
            <w:tcW w:w="2021" w:type="dxa"/>
            <w:tcBorders>
              <w:top w:val="single" w:sz="4" w:space="0" w:color="auto"/>
              <w:bottom w:val="single" w:sz="4" w:space="0" w:color="auto"/>
            </w:tcBorders>
          </w:tcPr>
          <w:p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 xml:space="preserve">Feb 2013   </w:t>
            </w: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March 2013</w:t>
            </w:r>
          </w:p>
        </w:tc>
        <w:tc>
          <w:tcPr>
            <w:tcW w:w="2561" w:type="dxa"/>
            <w:tcBorders>
              <w:top w:val="single" w:sz="4" w:space="0" w:color="auto"/>
              <w:bottom w:val="single" w:sz="4" w:space="0" w:color="auto"/>
            </w:tcBorders>
          </w:tcPr>
          <w:p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High inflation may decrease the real value of loans to the clients and also cut into their investments and profits.</w:t>
            </w:r>
          </w:p>
          <w:p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The loan fund will also lose its value.</w:t>
            </w:r>
          </w:p>
          <w:p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Inflation rate decrease drastically this years and the effect on financial self-sustainability ratio is less. However, according to the estimate of official sources, the inflation rate for 2014 will be a bit more.</w:t>
            </w:r>
          </w:p>
          <w:p w:rsidR="006F17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Drop-out and dormant which can paralyze the institution may happen if livelihood opportunities in rural area decrease</w:t>
            </w:r>
            <w:r w:rsidR="004A1D6D">
              <w:rPr>
                <w:rFonts w:asciiTheme="minorHAnsi" w:hAnsiTheme="minorHAnsi" w:cstheme="minorHAnsi"/>
                <w:sz w:val="20"/>
                <w:szCs w:val="20"/>
              </w:rPr>
              <w:t>.</w:t>
            </w:r>
          </w:p>
          <w:p w:rsidR="004A1D6D" w:rsidRPr="00A76143" w:rsidRDefault="004A1D6D" w:rsidP="00221D64">
            <w:pPr>
              <w:rPr>
                <w:rFonts w:asciiTheme="minorHAnsi" w:hAnsiTheme="minorHAnsi" w:cstheme="minorHAnsi"/>
                <w:sz w:val="20"/>
                <w:szCs w:val="20"/>
              </w:rPr>
            </w:pPr>
          </w:p>
        </w:tc>
        <w:tc>
          <w:tcPr>
            <w:tcW w:w="2789" w:type="dxa"/>
            <w:tcBorders>
              <w:top w:val="single" w:sz="4" w:space="0" w:color="auto"/>
              <w:bottom w:val="single" w:sz="4" w:space="0" w:color="auto"/>
            </w:tcBorders>
          </w:tcPr>
          <w:p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Will review and adjust the loan size and interest rate on clients’ savings.</w:t>
            </w: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Government has been laying down pro-poor policy. Enabling environment for MF is livelihood creation and market access. Partnership with private sectors on rural product marketing should be taken into consideration</w:t>
            </w:r>
          </w:p>
        </w:tc>
        <w:tc>
          <w:tcPr>
            <w:tcW w:w="1039" w:type="dxa"/>
            <w:tcBorders>
              <w:top w:val="single" w:sz="4" w:space="0" w:color="auto"/>
              <w:bottom w:val="single" w:sz="4" w:space="0" w:color="auto"/>
            </w:tcBorders>
          </w:tcPr>
          <w:p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Medium</w:t>
            </w: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p>
          <w:p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Medium-high</w:t>
            </w:r>
          </w:p>
        </w:tc>
      </w:tr>
    </w:tbl>
    <w:p w:rsidR="005C3F4A" w:rsidRDefault="005C3F4A" w:rsidP="0078162B">
      <w:pPr>
        <w:pStyle w:val="Header"/>
        <w:rPr>
          <w:b/>
          <w:bCs/>
          <w:color w:val="FF0000"/>
        </w:rPr>
      </w:pPr>
    </w:p>
    <w:p w:rsidR="006F1743" w:rsidRDefault="006F1743" w:rsidP="0078162B">
      <w:pPr>
        <w:pStyle w:val="Header"/>
        <w:rPr>
          <w:b/>
          <w:bCs/>
          <w:color w:val="FF0000"/>
        </w:rPr>
      </w:pPr>
    </w:p>
    <w:p w:rsidR="006F1743" w:rsidRPr="00097E80" w:rsidRDefault="006F1743" w:rsidP="0078162B">
      <w:pPr>
        <w:pStyle w:val="Header"/>
        <w:rPr>
          <w:b/>
          <w:bCs/>
          <w:color w:val="FF0000"/>
        </w:rPr>
      </w:pPr>
    </w:p>
    <w:sectPr w:rsidR="006F1743" w:rsidRPr="00097E80" w:rsidSect="00090D65">
      <w:footerReference w:type="default" r:id="rId10"/>
      <w:pgSz w:w="11906" w:h="16838"/>
      <w:pgMar w:top="1440" w:right="1080" w:bottom="1440" w:left="108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43F" w:rsidRDefault="00C4043F" w:rsidP="001619B8">
      <w:pPr>
        <w:spacing w:after="0" w:line="240" w:lineRule="auto"/>
      </w:pPr>
      <w:r>
        <w:separator/>
      </w:r>
    </w:p>
  </w:endnote>
  <w:endnote w:type="continuationSeparator" w:id="0">
    <w:p w:rsidR="00C4043F" w:rsidRDefault="00C4043F" w:rsidP="0016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Zawgyi-One">
    <w:altName w:val="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18726"/>
      <w:docPartObj>
        <w:docPartGallery w:val="Page Numbers (Bottom of Page)"/>
        <w:docPartUnique/>
      </w:docPartObj>
    </w:sdtPr>
    <w:sdtEndPr/>
    <w:sdtContent>
      <w:sdt>
        <w:sdtPr>
          <w:id w:val="860082579"/>
          <w:docPartObj>
            <w:docPartGallery w:val="Page Numbers (Top of Page)"/>
            <w:docPartUnique/>
          </w:docPartObj>
        </w:sdtPr>
        <w:sdtEndPr/>
        <w:sdtContent>
          <w:p w:rsidR="00255002" w:rsidRDefault="002550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5D80">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5D80">
              <w:rPr>
                <w:b/>
                <w:bCs/>
                <w:noProof/>
              </w:rPr>
              <w:t>16</w:t>
            </w:r>
            <w:r>
              <w:rPr>
                <w:b/>
                <w:bCs/>
                <w:sz w:val="24"/>
                <w:szCs w:val="24"/>
              </w:rPr>
              <w:fldChar w:fldCharType="end"/>
            </w:r>
          </w:p>
        </w:sdtContent>
      </w:sdt>
    </w:sdtContent>
  </w:sdt>
  <w:p w:rsidR="00255002" w:rsidRDefault="00255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43F" w:rsidRDefault="00C4043F" w:rsidP="001619B8">
      <w:pPr>
        <w:spacing w:after="0" w:line="240" w:lineRule="auto"/>
      </w:pPr>
      <w:r>
        <w:separator/>
      </w:r>
    </w:p>
  </w:footnote>
  <w:footnote w:type="continuationSeparator" w:id="0">
    <w:p w:rsidR="00C4043F" w:rsidRDefault="00C4043F" w:rsidP="001619B8">
      <w:pPr>
        <w:spacing w:after="0" w:line="240" w:lineRule="auto"/>
      </w:pPr>
      <w:r>
        <w:continuationSeparator/>
      </w:r>
    </w:p>
  </w:footnote>
  <w:footnote w:id="1">
    <w:p w:rsidR="00255002" w:rsidRDefault="00255002" w:rsidP="00C67062">
      <w:pPr>
        <w:pStyle w:val="FootnoteText"/>
      </w:pPr>
      <w:r>
        <w:rPr>
          <w:rStyle w:val="FootnoteReference"/>
        </w:rPr>
        <w:footnoteRef/>
      </w:r>
      <w:r>
        <w:t xml:space="preserve"> </w:t>
      </w:r>
      <w:r>
        <w:rPr>
          <w:sz w:val="18"/>
          <w:szCs w:val="18"/>
        </w:rPr>
        <w:t>1 US$= 933.17</w:t>
      </w:r>
      <w:r w:rsidRPr="008A3519">
        <w:rPr>
          <w:sz w:val="18"/>
          <w:szCs w:val="18"/>
        </w:rPr>
        <w:t xml:space="preserve"> Myanmar Kyats</w:t>
      </w:r>
    </w:p>
  </w:footnote>
  <w:footnote w:id="2">
    <w:p w:rsidR="00255002" w:rsidRDefault="00255002" w:rsidP="001B4111">
      <w:pPr>
        <w:pStyle w:val="FootnoteText"/>
      </w:pPr>
      <w:r>
        <w:rPr>
          <w:rStyle w:val="FootnoteReference"/>
        </w:rPr>
        <w:footnoteRef/>
      </w:r>
      <w:r>
        <w:t xml:space="preserve"> Revised Target</w:t>
      </w:r>
    </w:p>
  </w:footnote>
  <w:footnote w:id="3">
    <w:p w:rsidR="00255002" w:rsidRDefault="00255002" w:rsidP="001B4111">
      <w:pPr>
        <w:pStyle w:val="FootnoteText"/>
      </w:pPr>
      <w:r w:rsidRPr="001F48BB">
        <w:rPr>
          <w:rStyle w:val="FootnoteReference"/>
        </w:rPr>
        <w:footnoteRef/>
      </w:r>
      <w:r w:rsidRPr="001F48BB">
        <w:t xml:space="preserve"> Monetary value are calculated on the basis that 1 USD  is equal to 933.17 kyats</w:t>
      </w:r>
      <w:r>
        <w:t xml:space="preserve"> </w:t>
      </w:r>
    </w:p>
  </w:footnote>
  <w:footnote w:id="4">
    <w:p w:rsidR="00255002" w:rsidRDefault="00255002" w:rsidP="001B4111">
      <w:pPr>
        <w:pStyle w:val="FootnoteText"/>
      </w:pPr>
      <w:r>
        <w:rPr>
          <w:rStyle w:val="FootnoteReference"/>
        </w:rPr>
        <w:footnoteRef/>
      </w:r>
      <w:r>
        <w:t xml:space="preserve"> Number of loans surpass new clients as some of them happened to take another loans.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E3A5A"/>
    <w:multiLevelType w:val="hybridMultilevel"/>
    <w:tmpl w:val="BC129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544AE"/>
    <w:multiLevelType w:val="hybridMultilevel"/>
    <w:tmpl w:val="F5F8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D74CC"/>
    <w:multiLevelType w:val="hybridMultilevel"/>
    <w:tmpl w:val="AD066CB2"/>
    <w:lvl w:ilvl="0" w:tplc="974847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7761C"/>
    <w:multiLevelType w:val="hybridMultilevel"/>
    <w:tmpl w:val="BC129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83765"/>
    <w:multiLevelType w:val="hybridMultilevel"/>
    <w:tmpl w:val="1C540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00CF2"/>
    <w:multiLevelType w:val="hybridMultilevel"/>
    <w:tmpl w:val="7F1C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376500"/>
    <w:multiLevelType w:val="hybridMultilevel"/>
    <w:tmpl w:val="FA0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A6924"/>
    <w:multiLevelType w:val="hybridMultilevel"/>
    <w:tmpl w:val="9968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FF"/>
    <w:rsid w:val="00000030"/>
    <w:rsid w:val="0000008B"/>
    <w:rsid w:val="00001364"/>
    <w:rsid w:val="000050AE"/>
    <w:rsid w:val="00007D55"/>
    <w:rsid w:val="00014328"/>
    <w:rsid w:val="000148CA"/>
    <w:rsid w:val="00024C47"/>
    <w:rsid w:val="000253ED"/>
    <w:rsid w:val="00026632"/>
    <w:rsid w:val="000324CF"/>
    <w:rsid w:val="00041684"/>
    <w:rsid w:val="000450A8"/>
    <w:rsid w:val="000459AE"/>
    <w:rsid w:val="00045C58"/>
    <w:rsid w:val="000507FD"/>
    <w:rsid w:val="00056CB9"/>
    <w:rsid w:val="000671AB"/>
    <w:rsid w:val="00071A2C"/>
    <w:rsid w:val="00074197"/>
    <w:rsid w:val="00075865"/>
    <w:rsid w:val="000809A0"/>
    <w:rsid w:val="000812AD"/>
    <w:rsid w:val="00090D65"/>
    <w:rsid w:val="00097010"/>
    <w:rsid w:val="00097E80"/>
    <w:rsid w:val="000A6CEA"/>
    <w:rsid w:val="000B2861"/>
    <w:rsid w:val="000B3566"/>
    <w:rsid w:val="000C3DF5"/>
    <w:rsid w:val="000C601F"/>
    <w:rsid w:val="000C7018"/>
    <w:rsid w:val="000D0ADF"/>
    <w:rsid w:val="000D4C7C"/>
    <w:rsid w:val="000D7D39"/>
    <w:rsid w:val="000E343D"/>
    <w:rsid w:val="000E42C9"/>
    <w:rsid w:val="000E4629"/>
    <w:rsid w:val="000E7522"/>
    <w:rsid w:val="000F2AD8"/>
    <w:rsid w:val="000F5E09"/>
    <w:rsid w:val="00106AA9"/>
    <w:rsid w:val="001070D7"/>
    <w:rsid w:val="00107A21"/>
    <w:rsid w:val="00110518"/>
    <w:rsid w:val="0011229C"/>
    <w:rsid w:val="00114DCE"/>
    <w:rsid w:val="00115BD1"/>
    <w:rsid w:val="0012044E"/>
    <w:rsid w:val="00120A6A"/>
    <w:rsid w:val="00121F3D"/>
    <w:rsid w:val="001263EB"/>
    <w:rsid w:val="001300C2"/>
    <w:rsid w:val="0013071C"/>
    <w:rsid w:val="001321EA"/>
    <w:rsid w:val="0013275B"/>
    <w:rsid w:val="00134DDC"/>
    <w:rsid w:val="00136F67"/>
    <w:rsid w:val="00137C80"/>
    <w:rsid w:val="0014438B"/>
    <w:rsid w:val="00147AD8"/>
    <w:rsid w:val="001503A2"/>
    <w:rsid w:val="00151CD6"/>
    <w:rsid w:val="0015784C"/>
    <w:rsid w:val="00157B66"/>
    <w:rsid w:val="001600B4"/>
    <w:rsid w:val="001619B8"/>
    <w:rsid w:val="00163528"/>
    <w:rsid w:val="00163A2C"/>
    <w:rsid w:val="001648A5"/>
    <w:rsid w:val="00166350"/>
    <w:rsid w:val="0017181E"/>
    <w:rsid w:val="0017272F"/>
    <w:rsid w:val="00176D6A"/>
    <w:rsid w:val="001776AA"/>
    <w:rsid w:val="00180699"/>
    <w:rsid w:val="0018491D"/>
    <w:rsid w:val="00187D0E"/>
    <w:rsid w:val="00192F68"/>
    <w:rsid w:val="0019483D"/>
    <w:rsid w:val="001A6917"/>
    <w:rsid w:val="001A7E8E"/>
    <w:rsid w:val="001B4111"/>
    <w:rsid w:val="001C3BFD"/>
    <w:rsid w:val="001C575B"/>
    <w:rsid w:val="001C62E3"/>
    <w:rsid w:val="001D39F5"/>
    <w:rsid w:val="001E4812"/>
    <w:rsid w:val="001E491B"/>
    <w:rsid w:val="001F4212"/>
    <w:rsid w:val="001F48BB"/>
    <w:rsid w:val="001F7534"/>
    <w:rsid w:val="00203D76"/>
    <w:rsid w:val="00205D16"/>
    <w:rsid w:val="00207B88"/>
    <w:rsid w:val="00210CCA"/>
    <w:rsid w:val="002119A6"/>
    <w:rsid w:val="002165DB"/>
    <w:rsid w:val="00216E8C"/>
    <w:rsid w:val="00220897"/>
    <w:rsid w:val="00220C4B"/>
    <w:rsid w:val="00221D64"/>
    <w:rsid w:val="00235DD0"/>
    <w:rsid w:val="00241D34"/>
    <w:rsid w:val="00247DA6"/>
    <w:rsid w:val="0025214F"/>
    <w:rsid w:val="00253C1A"/>
    <w:rsid w:val="0025459C"/>
    <w:rsid w:val="00254993"/>
    <w:rsid w:val="002549E5"/>
    <w:rsid w:val="00255002"/>
    <w:rsid w:val="00256BFE"/>
    <w:rsid w:val="00257875"/>
    <w:rsid w:val="002604D8"/>
    <w:rsid w:val="00263AA2"/>
    <w:rsid w:val="00263C11"/>
    <w:rsid w:val="002719FE"/>
    <w:rsid w:val="0027419F"/>
    <w:rsid w:val="00280ED1"/>
    <w:rsid w:val="002844E4"/>
    <w:rsid w:val="00292226"/>
    <w:rsid w:val="002A07DF"/>
    <w:rsid w:val="002A35C1"/>
    <w:rsid w:val="002A5D48"/>
    <w:rsid w:val="002A5EEA"/>
    <w:rsid w:val="002B1EA6"/>
    <w:rsid w:val="002B201A"/>
    <w:rsid w:val="002B5886"/>
    <w:rsid w:val="002C23B0"/>
    <w:rsid w:val="002C4DF8"/>
    <w:rsid w:val="002C56AB"/>
    <w:rsid w:val="002C7ECE"/>
    <w:rsid w:val="002D2003"/>
    <w:rsid w:val="002D2546"/>
    <w:rsid w:val="002D3A8B"/>
    <w:rsid w:val="002E42A2"/>
    <w:rsid w:val="002E5F44"/>
    <w:rsid w:val="002F2EF4"/>
    <w:rsid w:val="002F35B8"/>
    <w:rsid w:val="002F4847"/>
    <w:rsid w:val="002F6956"/>
    <w:rsid w:val="002F6AFB"/>
    <w:rsid w:val="002F71B6"/>
    <w:rsid w:val="003018D8"/>
    <w:rsid w:val="00301CD0"/>
    <w:rsid w:val="00304BD1"/>
    <w:rsid w:val="00307C89"/>
    <w:rsid w:val="00312A78"/>
    <w:rsid w:val="003168A4"/>
    <w:rsid w:val="00316BB9"/>
    <w:rsid w:val="0032299A"/>
    <w:rsid w:val="00324D1C"/>
    <w:rsid w:val="00327DFE"/>
    <w:rsid w:val="003307B5"/>
    <w:rsid w:val="00331C5D"/>
    <w:rsid w:val="00333D01"/>
    <w:rsid w:val="00334DB9"/>
    <w:rsid w:val="00335CD5"/>
    <w:rsid w:val="0034460B"/>
    <w:rsid w:val="0034592F"/>
    <w:rsid w:val="00346A14"/>
    <w:rsid w:val="00347467"/>
    <w:rsid w:val="00347CD1"/>
    <w:rsid w:val="00350B2C"/>
    <w:rsid w:val="0035236A"/>
    <w:rsid w:val="00352B44"/>
    <w:rsid w:val="00356838"/>
    <w:rsid w:val="003613F9"/>
    <w:rsid w:val="003648F1"/>
    <w:rsid w:val="00364C13"/>
    <w:rsid w:val="003679EE"/>
    <w:rsid w:val="00373680"/>
    <w:rsid w:val="00376E9F"/>
    <w:rsid w:val="00377689"/>
    <w:rsid w:val="003850DF"/>
    <w:rsid w:val="003A3E54"/>
    <w:rsid w:val="003A546E"/>
    <w:rsid w:val="003A5CF6"/>
    <w:rsid w:val="003A69EF"/>
    <w:rsid w:val="003A6AF2"/>
    <w:rsid w:val="003B3A1E"/>
    <w:rsid w:val="003B6651"/>
    <w:rsid w:val="003B7EBA"/>
    <w:rsid w:val="003C0D03"/>
    <w:rsid w:val="003C12E4"/>
    <w:rsid w:val="003C19A7"/>
    <w:rsid w:val="003C716C"/>
    <w:rsid w:val="003D042A"/>
    <w:rsid w:val="003D28D6"/>
    <w:rsid w:val="003D4A66"/>
    <w:rsid w:val="003F644B"/>
    <w:rsid w:val="003F6732"/>
    <w:rsid w:val="00407ADF"/>
    <w:rsid w:val="004112CB"/>
    <w:rsid w:val="00413E13"/>
    <w:rsid w:val="004146C4"/>
    <w:rsid w:val="00415806"/>
    <w:rsid w:val="0042205D"/>
    <w:rsid w:val="004264AA"/>
    <w:rsid w:val="0042674C"/>
    <w:rsid w:val="004307D2"/>
    <w:rsid w:val="00432664"/>
    <w:rsid w:val="00440FC7"/>
    <w:rsid w:val="00442A58"/>
    <w:rsid w:val="00442B6F"/>
    <w:rsid w:val="00443991"/>
    <w:rsid w:val="004454F0"/>
    <w:rsid w:val="004472E7"/>
    <w:rsid w:val="00447DA8"/>
    <w:rsid w:val="0045168D"/>
    <w:rsid w:val="004519D5"/>
    <w:rsid w:val="004552A4"/>
    <w:rsid w:val="004571B6"/>
    <w:rsid w:val="00467E41"/>
    <w:rsid w:val="00471501"/>
    <w:rsid w:val="00480EFF"/>
    <w:rsid w:val="00484FB5"/>
    <w:rsid w:val="00492DEF"/>
    <w:rsid w:val="00494440"/>
    <w:rsid w:val="00496770"/>
    <w:rsid w:val="004973D4"/>
    <w:rsid w:val="00497EA4"/>
    <w:rsid w:val="004A1D6D"/>
    <w:rsid w:val="004A235F"/>
    <w:rsid w:val="004A6C25"/>
    <w:rsid w:val="004B4928"/>
    <w:rsid w:val="004B66F5"/>
    <w:rsid w:val="004C41DF"/>
    <w:rsid w:val="004C717E"/>
    <w:rsid w:val="004D42C9"/>
    <w:rsid w:val="004F2B3C"/>
    <w:rsid w:val="004F3864"/>
    <w:rsid w:val="004F470A"/>
    <w:rsid w:val="004F588C"/>
    <w:rsid w:val="004F7C6F"/>
    <w:rsid w:val="00500DFF"/>
    <w:rsid w:val="00517101"/>
    <w:rsid w:val="00520A0E"/>
    <w:rsid w:val="00522A69"/>
    <w:rsid w:val="005307E3"/>
    <w:rsid w:val="00535E38"/>
    <w:rsid w:val="00536732"/>
    <w:rsid w:val="00537CB7"/>
    <w:rsid w:val="005402BE"/>
    <w:rsid w:val="005413C1"/>
    <w:rsid w:val="0054397A"/>
    <w:rsid w:val="005475CC"/>
    <w:rsid w:val="00550DA1"/>
    <w:rsid w:val="00550F3C"/>
    <w:rsid w:val="00554A13"/>
    <w:rsid w:val="0056189E"/>
    <w:rsid w:val="00565694"/>
    <w:rsid w:val="0056590A"/>
    <w:rsid w:val="005678DB"/>
    <w:rsid w:val="005700D1"/>
    <w:rsid w:val="005761E2"/>
    <w:rsid w:val="00580EFE"/>
    <w:rsid w:val="0058242F"/>
    <w:rsid w:val="005834E7"/>
    <w:rsid w:val="005860C6"/>
    <w:rsid w:val="00590E9D"/>
    <w:rsid w:val="00593220"/>
    <w:rsid w:val="00593243"/>
    <w:rsid w:val="005975D6"/>
    <w:rsid w:val="005976E1"/>
    <w:rsid w:val="005A0CF4"/>
    <w:rsid w:val="005A53EF"/>
    <w:rsid w:val="005A6CA8"/>
    <w:rsid w:val="005B24D5"/>
    <w:rsid w:val="005B3CA3"/>
    <w:rsid w:val="005B4FCD"/>
    <w:rsid w:val="005B7078"/>
    <w:rsid w:val="005C33F0"/>
    <w:rsid w:val="005C3F4A"/>
    <w:rsid w:val="005D05E1"/>
    <w:rsid w:val="005D131A"/>
    <w:rsid w:val="005D2D67"/>
    <w:rsid w:val="005D49A8"/>
    <w:rsid w:val="005D704D"/>
    <w:rsid w:val="005E0E9A"/>
    <w:rsid w:val="005E1BCE"/>
    <w:rsid w:val="005F2722"/>
    <w:rsid w:val="005F2B9D"/>
    <w:rsid w:val="005F3376"/>
    <w:rsid w:val="005F5451"/>
    <w:rsid w:val="00600A3B"/>
    <w:rsid w:val="006017EB"/>
    <w:rsid w:val="006029DF"/>
    <w:rsid w:val="006107FB"/>
    <w:rsid w:val="00613925"/>
    <w:rsid w:val="00614C1B"/>
    <w:rsid w:val="00614D04"/>
    <w:rsid w:val="00617559"/>
    <w:rsid w:val="00634ACF"/>
    <w:rsid w:val="00637B47"/>
    <w:rsid w:val="00637C9A"/>
    <w:rsid w:val="0064072D"/>
    <w:rsid w:val="00647BF3"/>
    <w:rsid w:val="006508E3"/>
    <w:rsid w:val="00650CB7"/>
    <w:rsid w:val="00654CF7"/>
    <w:rsid w:val="006573CF"/>
    <w:rsid w:val="00662625"/>
    <w:rsid w:val="00666233"/>
    <w:rsid w:val="00666AA0"/>
    <w:rsid w:val="006675D7"/>
    <w:rsid w:val="006713A9"/>
    <w:rsid w:val="00677055"/>
    <w:rsid w:val="00677BA2"/>
    <w:rsid w:val="00677C55"/>
    <w:rsid w:val="00681DA3"/>
    <w:rsid w:val="00684328"/>
    <w:rsid w:val="00686B76"/>
    <w:rsid w:val="00687A7C"/>
    <w:rsid w:val="00690CAE"/>
    <w:rsid w:val="00695A7F"/>
    <w:rsid w:val="006968C1"/>
    <w:rsid w:val="00697FD6"/>
    <w:rsid w:val="006A151D"/>
    <w:rsid w:val="006A214F"/>
    <w:rsid w:val="006B283E"/>
    <w:rsid w:val="006B5C85"/>
    <w:rsid w:val="006B64A0"/>
    <w:rsid w:val="006C3A70"/>
    <w:rsid w:val="006C54B5"/>
    <w:rsid w:val="006D04F9"/>
    <w:rsid w:val="006D58A0"/>
    <w:rsid w:val="006E463F"/>
    <w:rsid w:val="006F1743"/>
    <w:rsid w:val="006F44AD"/>
    <w:rsid w:val="006F533B"/>
    <w:rsid w:val="006F699F"/>
    <w:rsid w:val="006F7B63"/>
    <w:rsid w:val="007004E2"/>
    <w:rsid w:val="00702204"/>
    <w:rsid w:val="007222D9"/>
    <w:rsid w:val="00724483"/>
    <w:rsid w:val="0073175B"/>
    <w:rsid w:val="00733908"/>
    <w:rsid w:val="00734D03"/>
    <w:rsid w:val="007371FA"/>
    <w:rsid w:val="00737E89"/>
    <w:rsid w:val="00742350"/>
    <w:rsid w:val="00742618"/>
    <w:rsid w:val="00743E95"/>
    <w:rsid w:val="00745A20"/>
    <w:rsid w:val="007500B6"/>
    <w:rsid w:val="00753497"/>
    <w:rsid w:val="00754185"/>
    <w:rsid w:val="00754B3F"/>
    <w:rsid w:val="00756F9B"/>
    <w:rsid w:val="00762114"/>
    <w:rsid w:val="00767AEA"/>
    <w:rsid w:val="00770E07"/>
    <w:rsid w:val="00776524"/>
    <w:rsid w:val="007803E2"/>
    <w:rsid w:val="0078162B"/>
    <w:rsid w:val="007825AD"/>
    <w:rsid w:val="00786899"/>
    <w:rsid w:val="007A3080"/>
    <w:rsid w:val="007A7801"/>
    <w:rsid w:val="007B05A2"/>
    <w:rsid w:val="007C34EA"/>
    <w:rsid w:val="007D06DD"/>
    <w:rsid w:val="007D09E2"/>
    <w:rsid w:val="007D21BA"/>
    <w:rsid w:val="007E0042"/>
    <w:rsid w:val="007E1728"/>
    <w:rsid w:val="007E5075"/>
    <w:rsid w:val="007F2B11"/>
    <w:rsid w:val="007F5826"/>
    <w:rsid w:val="007F58E8"/>
    <w:rsid w:val="00801C5A"/>
    <w:rsid w:val="00811052"/>
    <w:rsid w:val="008133C6"/>
    <w:rsid w:val="0082303F"/>
    <w:rsid w:val="00825A1F"/>
    <w:rsid w:val="00833B3D"/>
    <w:rsid w:val="008401C0"/>
    <w:rsid w:val="0084332C"/>
    <w:rsid w:val="00843900"/>
    <w:rsid w:val="008449C6"/>
    <w:rsid w:val="00844FDF"/>
    <w:rsid w:val="00845DE6"/>
    <w:rsid w:val="00846A1F"/>
    <w:rsid w:val="00862076"/>
    <w:rsid w:val="00862D14"/>
    <w:rsid w:val="008718D8"/>
    <w:rsid w:val="00872578"/>
    <w:rsid w:val="00872D81"/>
    <w:rsid w:val="008737D1"/>
    <w:rsid w:val="00874758"/>
    <w:rsid w:val="00874779"/>
    <w:rsid w:val="00875398"/>
    <w:rsid w:val="00875914"/>
    <w:rsid w:val="00876972"/>
    <w:rsid w:val="00884E86"/>
    <w:rsid w:val="0088599B"/>
    <w:rsid w:val="00887694"/>
    <w:rsid w:val="00890F1B"/>
    <w:rsid w:val="0089138E"/>
    <w:rsid w:val="008942ED"/>
    <w:rsid w:val="008A3519"/>
    <w:rsid w:val="008A492C"/>
    <w:rsid w:val="008B2533"/>
    <w:rsid w:val="008B3FE4"/>
    <w:rsid w:val="008D21D6"/>
    <w:rsid w:val="008D4B1F"/>
    <w:rsid w:val="008D51FC"/>
    <w:rsid w:val="008E5A0F"/>
    <w:rsid w:val="00907CF6"/>
    <w:rsid w:val="00917690"/>
    <w:rsid w:val="00921AD8"/>
    <w:rsid w:val="00922744"/>
    <w:rsid w:val="00923CF1"/>
    <w:rsid w:val="00931D28"/>
    <w:rsid w:val="009342B8"/>
    <w:rsid w:val="00935163"/>
    <w:rsid w:val="00935B25"/>
    <w:rsid w:val="009371E0"/>
    <w:rsid w:val="00943B88"/>
    <w:rsid w:val="00945967"/>
    <w:rsid w:val="00946F07"/>
    <w:rsid w:val="009470DC"/>
    <w:rsid w:val="00947667"/>
    <w:rsid w:val="009521D0"/>
    <w:rsid w:val="00952A2D"/>
    <w:rsid w:val="00953042"/>
    <w:rsid w:val="00953BC0"/>
    <w:rsid w:val="0095563A"/>
    <w:rsid w:val="0095604A"/>
    <w:rsid w:val="009627A3"/>
    <w:rsid w:val="00964B56"/>
    <w:rsid w:val="00973DDA"/>
    <w:rsid w:val="0097418E"/>
    <w:rsid w:val="009755E7"/>
    <w:rsid w:val="0098078B"/>
    <w:rsid w:val="00980C75"/>
    <w:rsid w:val="009819C6"/>
    <w:rsid w:val="00983471"/>
    <w:rsid w:val="00984076"/>
    <w:rsid w:val="00985349"/>
    <w:rsid w:val="009956F2"/>
    <w:rsid w:val="009A08F2"/>
    <w:rsid w:val="009A1356"/>
    <w:rsid w:val="009A1E04"/>
    <w:rsid w:val="009A5B6C"/>
    <w:rsid w:val="009B0C72"/>
    <w:rsid w:val="009B1925"/>
    <w:rsid w:val="009B1B2A"/>
    <w:rsid w:val="009B3552"/>
    <w:rsid w:val="009B587D"/>
    <w:rsid w:val="009B5EC9"/>
    <w:rsid w:val="009B68D7"/>
    <w:rsid w:val="009C1FAF"/>
    <w:rsid w:val="009C52E8"/>
    <w:rsid w:val="009D0C1E"/>
    <w:rsid w:val="009D3479"/>
    <w:rsid w:val="009D40B5"/>
    <w:rsid w:val="009E2220"/>
    <w:rsid w:val="009E2367"/>
    <w:rsid w:val="009E2907"/>
    <w:rsid w:val="009F068B"/>
    <w:rsid w:val="009F3B52"/>
    <w:rsid w:val="009F3FF7"/>
    <w:rsid w:val="00A02CAA"/>
    <w:rsid w:val="00A05533"/>
    <w:rsid w:val="00A10EAB"/>
    <w:rsid w:val="00A127F3"/>
    <w:rsid w:val="00A14A57"/>
    <w:rsid w:val="00A14DED"/>
    <w:rsid w:val="00A17F16"/>
    <w:rsid w:val="00A2014C"/>
    <w:rsid w:val="00A24E03"/>
    <w:rsid w:val="00A319DF"/>
    <w:rsid w:val="00A33BEC"/>
    <w:rsid w:val="00A414A6"/>
    <w:rsid w:val="00A41678"/>
    <w:rsid w:val="00A44E12"/>
    <w:rsid w:val="00A44F43"/>
    <w:rsid w:val="00A45070"/>
    <w:rsid w:val="00A51DF2"/>
    <w:rsid w:val="00A5321C"/>
    <w:rsid w:val="00A54996"/>
    <w:rsid w:val="00A54EA4"/>
    <w:rsid w:val="00A6020A"/>
    <w:rsid w:val="00A6145B"/>
    <w:rsid w:val="00A62533"/>
    <w:rsid w:val="00A62F40"/>
    <w:rsid w:val="00A63173"/>
    <w:rsid w:val="00A660C0"/>
    <w:rsid w:val="00A711A8"/>
    <w:rsid w:val="00A716F2"/>
    <w:rsid w:val="00A723A2"/>
    <w:rsid w:val="00A7360A"/>
    <w:rsid w:val="00A75601"/>
    <w:rsid w:val="00A76143"/>
    <w:rsid w:val="00A76661"/>
    <w:rsid w:val="00A77111"/>
    <w:rsid w:val="00A87398"/>
    <w:rsid w:val="00A9276E"/>
    <w:rsid w:val="00A93811"/>
    <w:rsid w:val="00A93DCC"/>
    <w:rsid w:val="00AA135C"/>
    <w:rsid w:val="00AA6382"/>
    <w:rsid w:val="00AB5BDB"/>
    <w:rsid w:val="00AB66DD"/>
    <w:rsid w:val="00AC14CC"/>
    <w:rsid w:val="00AC179E"/>
    <w:rsid w:val="00AC297A"/>
    <w:rsid w:val="00AC3579"/>
    <w:rsid w:val="00AC705A"/>
    <w:rsid w:val="00AC762F"/>
    <w:rsid w:val="00AD064A"/>
    <w:rsid w:val="00AD0B33"/>
    <w:rsid w:val="00AD0E7E"/>
    <w:rsid w:val="00AD32F4"/>
    <w:rsid w:val="00AD72C0"/>
    <w:rsid w:val="00AD7FE3"/>
    <w:rsid w:val="00AE5496"/>
    <w:rsid w:val="00AF7BEA"/>
    <w:rsid w:val="00AF7FB1"/>
    <w:rsid w:val="00B0243A"/>
    <w:rsid w:val="00B03EE6"/>
    <w:rsid w:val="00B051DC"/>
    <w:rsid w:val="00B05BA7"/>
    <w:rsid w:val="00B07D42"/>
    <w:rsid w:val="00B130FF"/>
    <w:rsid w:val="00B1484D"/>
    <w:rsid w:val="00B25DAA"/>
    <w:rsid w:val="00B27976"/>
    <w:rsid w:val="00B30496"/>
    <w:rsid w:val="00B311AA"/>
    <w:rsid w:val="00B33D2F"/>
    <w:rsid w:val="00B3470B"/>
    <w:rsid w:val="00B35368"/>
    <w:rsid w:val="00B4059C"/>
    <w:rsid w:val="00B524E5"/>
    <w:rsid w:val="00B54832"/>
    <w:rsid w:val="00B56960"/>
    <w:rsid w:val="00B60BFC"/>
    <w:rsid w:val="00B6481C"/>
    <w:rsid w:val="00B6683A"/>
    <w:rsid w:val="00B674C7"/>
    <w:rsid w:val="00B67B8A"/>
    <w:rsid w:val="00B73B53"/>
    <w:rsid w:val="00B758F5"/>
    <w:rsid w:val="00B85333"/>
    <w:rsid w:val="00B85ADC"/>
    <w:rsid w:val="00B8737F"/>
    <w:rsid w:val="00B9475F"/>
    <w:rsid w:val="00B96227"/>
    <w:rsid w:val="00BA4409"/>
    <w:rsid w:val="00BA479D"/>
    <w:rsid w:val="00BA4F8F"/>
    <w:rsid w:val="00BB23FB"/>
    <w:rsid w:val="00BB3C78"/>
    <w:rsid w:val="00BB556A"/>
    <w:rsid w:val="00BD3CC6"/>
    <w:rsid w:val="00BD5E36"/>
    <w:rsid w:val="00BD7778"/>
    <w:rsid w:val="00BF6A77"/>
    <w:rsid w:val="00C0003D"/>
    <w:rsid w:val="00C00BEE"/>
    <w:rsid w:val="00C010AF"/>
    <w:rsid w:val="00C022D2"/>
    <w:rsid w:val="00C026E8"/>
    <w:rsid w:val="00C02B81"/>
    <w:rsid w:val="00C03BCC"/>
    <w:rsid w:val="00C0582F"/>
    <w:rsid w:val="00C0661D"/>
    <w:rsid w:val="00C15147"/>
    <w:rsid w:val="00C208B9"/>
    <w:rsid w:val="00C208CC"/>
    <w:rsid w:val="00C213AF"/>
    <w:rsid w:val="00C22A0C"/>
    <w:rsid w:val="00C234B3"/>
    <w:rsid w:val="00C3183F"/>
    <w:rsid w:val="00C31FC9"/>
    <w:rsid w:val="00C4043F"/>
    <w:rsid w:val="00C42133"/>
    <w:rsid w:val="00C455D6"/>
    <w:rsid w:val="00C47074"/>
    <w:rsid w:val="00C47B16"/>
    <w:rsid w:val="00C500C2"/>
    <w:rsid w:val="00C52053"/>
    <w:rsid w:val="00C52B6D"/>
    <w:rsid w:val="00C5557E"/>
    <w:rsid w:val="00C60257"/>
    <w:rsid w:val="00C61290"/>
    <w:rsid w:val="00C62046"/>
    <w:rsid w:val="00C6242C"/>
    <w:rsid w:val="00C64A0E"/>
    <w:rsid w:val="00C67062"/>
    <w:rsid w:val="00C6721F"/>
    <w:rsid w:val="00C678F3"/>
    <w:rsid w:val="00C735B5"/>
    <w:rsid w:val="00C74CC5"/>
    <w:rsid w:val="00C754A5"/>
    <w:rsid w:val="00C77406"/>
    <w:rsid w:val="00C80818"/>
    <w:rsid w:val="00C808D3"/>
    <w:rsid w:val="00C82138"/>
    <w:rsid w:val="00C847F4"/>
    <w:rsid w:val="00C84F97"/>
    <w:rsid w:val="00C92EC2"/>
    <w:rsid w:val="00CA327E"/>
    <w:rsid w:val="00CA4497"/>
    <w:rsid w:val="00CA5635"/>
    <w:rsid w:val="00CB2C73"/>
    <w:rsid w:val="00CB5CE3"/>
    <w:rsid w:val="00CC2339"/>
    <w:rsid w:val="00CC2421"/>
    <w:rsid w:val="00CC37EF"/>
    <w:rsid w:val="00CC432E"/>
    <w:rsid w:val="00CE07D4"/>
    <w:rsid w:val="00CE138E"/>
    <w:rsid w:val="00CE1DF7"/>
    <w:rsid w:val="00CE6983"/>
    <w:rsid w:val="00CE6A0A"/>
    <w:rsid w:val="00CE72E1"/>
    <w:rsid w:val="00CE763B"/>
    <w:rsid w:val="00CE7830"/>
    <w:rsid w:val="00CF08AD"/>
    <w:rsid w:val="00CF234C"/>
    <w:rsid w:val="00D02C98"/>
    <w:rsid w:val="00D06A85"/>
    <w:rsid w:val="00D116B2"/>
    <w:rsid w:val="00D13D3E"/>
    <w:rsid w:val="00D1586B"/>
    <w:rsid w:val="00D15BF3"/>
    <w:rsid w:val="00D17F5B"/>
    <w:rsid w:val="00D237C5"/>
    <w:rsid w:val="00D2670B"/>
    <w:rsid w:val="00D34B4B"/>
    <w:rsid w:val="00D35625"/>
    <w:rsid w:val="00D3593F"/>
    <w:rsid w:val="00D43DD5"/>
    <w:rsid w:val="00D50A7F"/>
    <w:rsid w:val="00D6490F"/>
    <w:rsid w:val="00D67E7D"/>
    <w:rsid w:val="00D70EA5"/>
    <w:rsid w:val="00D716CB"/>
    <w:rsid w:val="00D71844"/>
    <w:rsid w:val="00D7410D"/>
    <w:rsid w:val="00D82656"/>
    <w:rsid w:val="00D83742"/>
    <w:rsid w:val="00D906C2"/>
    <w:rsid w:val="00D907E5"/>
    <w:rsid w:val="00D9149A"/>
    <w:rsid w:val="00D92AAF"/>
    <w:rsid w:val="00D937D4"/>
    <w:rsid w:val="00D93960"/>
    <w:rsid w:val="00DA13F6"/>
    <w:rsid w:val="00DA63FD"/>
    <w:rsid w:val="00DA70D8"/>
    <w:rsid w:val="00DA73BC"/>
    <w:rsid w:val="00DB19E7"/>
    <w:rsid w:val="00DB24E1"/>
    <w:rsid w:val="00DB27FF"/>
    <w:rsid w:val="00DC318E"/>
    <w:rsid w:val="00DC721C"/>
    <w:rsid w:val="00DC79B8"/>
    <w:rsid w:val="00DD00D6"/>
    <w:rsid w:val="00DD0221"/>
    <w:rsid w:val="00DD4FF8"/>
    <w:rsid w:val="00DD6C15"/>
    <w:rsid w:val="00DE3FD5"/>
    <w:rsid w:val="00DE5C69"/>
    <w:rsid w:val="00DE7C2C"/>
    <w:rsid w:val="00DF2780"/>
    <w:rsid w:val="00DF2A4F"/>
    <w:rsid w:val="00DF320A"/>
    <w:rsid w:val="00DF4E4A"/>
    <w:rsid w:val="00DF66FA"/>
    <w:rsid w:val="00E00CFF"/>
    <w:rsid w:val="00E02B98"/>
    <w:rsid w:val="00E04489"/>
    <w:rsid w:val="00E04C77"/>
    <w:rsid w:val="00E0768B"/>
    <w:rsid w:val="00E110BD"/>
    <w:rsid w:val="00E11842"/>
    <w:rsid w:val="00E13859"/>
    <w:rsid w:val="00E165C7"/>
    <w:rsid w:val="00E16BC4"/>
    <w:rsid w:val="00E249C8"/>
    <w:rsid w:val="00E34F26"/>
    <w:rsid w:val="00E45E4B"/>
    <w:rsid w:val="00E46C4D"/>
    <w:rsid w:val="00E5476E"/>
    <w:rsid w:val="00E55D20"/>
    <w:rsid w:val="00E56FBB"/>
    <w:rsid w:val="00E5777F"/>
    <w:rsid w:val="00E61345"/>
    <w:rsid w:val="00E63F0F"/>
    <w:rsid w:val="00E66AB8"/>
    <w:rsid w:val="00E72324"/>
    <w:rsid w:val="00E72E5D"/>
    <w:rsid w:val="00E81387"/>
    <w:rsid w:val="00E81E44"/>
    <w:rsid w:val="00E900C3"/>
    <w:rsid w:val="00E936DD"/>
    <w:rsid w:val="00E96EFE"/>
    <w:rsid w:val="00EA7204"/>
    <w:rsid w:val="00EB56CA"/>
    <w:rsid w:val="00EC0104"/>
    <w:rsid w:val="00EE041A"/>
    <w:rsid w:val="00EE446C"/>
    <w:rsid w:val="00EE6456"/>
    <w:rsid w:val="00EE7E76"/>
    <w:rsid w:val="00EF5D80"/>
    <w:rsid w:val="00F010AF"/>
    <w:rsid w:val="00F028F2"/>
    <w:rsid w:val="00F10AED"/>
    <w:rsid w:val="00F11F05"/>
    <w:rsid w:val="00F23641"/>
    <w:rsid w:val="00F252CE"/>
    <w:rsid w:val="00F33B27"/>
    <w:rsid w:val="00F33D54"/>
    <w:rsid w:val="00F3764D"/>
    <w:rsid w:val="00F409C7"/>
    <w:rsid w:val="00F40BBE"/>
    <w:rsid w:val="00F41369"/>
    <w:rsid w:val="00F42B78"/>
    <w:rsid w:val="00F4757C"/>
    <w:rsid w:val="00F54B43"/>
    <w:rsid w:val="00F54D3C"/>
    <w:rsid w:val="00F57C35"/>
    <w:rsid w:val="00F57F61"/>
    <w:rsid w:val="00F710A3"/>
    <w:rsid w:val="00F72491"/>
    <w:rsid w:val="00F81B65"/>
    <w:rsid w:val="00F82036"/>
    <w:rsid w:val="00F861B4"/>
    <w:rsid w:val="00F867EE"/>
    <w:rsid w:val="00F90309"/>
    <w:rsid w:val="00F924ED"/>
    <w:rsid w:val="00F93DD4"/>
    <w:rsid w:val="00F944D9"/>
    <w:rsid w:val="00F9620C"/>
    <w:rsid w:val="00F9739A"/>
    <w:rsid w:val="00FA69F9"/>
    <w:rsid w:val="00FA7220"/>
    <w:rsid w:val="00FB01F1"/>
    <w:rsid w:val="00FB282D"/>
    <w:rsid w:val="00FB3659"/>
    <w:rsid w:val="00FB55FE"/>
    <w:rsid w:val="00FB6B95"/>
    <w:rsid w:val="00FB6F4C"/>
    <w:rsid w:val="00FC7666"/>
    <w:rsid w:val="00FD7019"/>
    <w:rsid w:val="00FD72DF"/>
    <w:rsid w:val="00FE479E"/>
    <w:rsid w:val="00FE7AD8"/>
    <w:rsid w:val="00FF5D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263E5C-B40F-4757-84EF-E2AFC4E3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C58"/>
    <w:rPr>
      <w:rFonts w:ascii="Calibri" w:eastAsia="Calibri" w:hAnsi="Calibri" w:cs="Cordia New"/>
      <w:szCs w:val="28"/>
      <w:lang w:val="en-US" w:bidi="th-TH"/>
    </w:rPr>
  </w:style>
  <w:style w:type="paragraph" w:styleId="Heading2">
    <w:name w:val="heading 2"/>
    <w:basedOn w:val="Normal"/>
    <w:next w:val="Normal"/>
    <w:link w:val="Heading2Char"/>
    <w:uiPriority w:val="9"/>
    <w:qFormat/>
    <w:rsid w:val="00E00CFF"/>
    <w:pPr>
      <w:keepNext/>
      <w:spacing w:before="240" w:after="60"/>
      <w:outlineLvl w:val="1"/>
    </w:pPr>
    <w:rPr>
      <w:rFonts w:ascii="Cambria" w:eastAsia="Times New Roman" w:hAnsi="Cambria" w:cs="Angsana New"/>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CFF"/>
    <w:rPr>
      <w:rFonts w:ascii="Cambria" w:eastAsia="Times New Roman" w:hAnsi="Cambria" w:cs="Angsana New"/>
      <w:b/>
      <w:bCs/>
      <w:i/>
      <w:iCs/>
      <w:sz w:val="28"/>
      <w:szCs w:val="35"/>
      <w:lang w:val="en-US" w:bidi="th-TH"/>
    </w:rPr>
  </w:style>
  <w:style w:type="paragraph" w:styleId="Header">
    <w:name w:val="header"/>
    <w:basedOn w:val="Normal"/>
    <w:link w:val="HeaderChar"/>
    <w:unhideWhenUsed/>
    <w:rsid w:val="00E00CFF"/>
    <w:pPr>
      <w:tabs>
        <w:tab w:val="center" w:pos="4680"/>
        <w:tab w:val="right" w:pos="9360"/>
      </w:tabs>
    </w:pPr>
  </w:style>
  <w:style w:type="character" w:customStyle="1" w:styleId="HeaderChar">
    <w:name w:val="Header Char"/>
    <w:basedOn w:val="DefaultParagraphFont"/>
    <w:link w:val="Header"/>
    <w:rsid w:val="00E00CFF"/>
    <w:rPr>
      <w:rFonts w:ascii="Calibri" w:eastAsia="Calibri" w:hAnsi="Calibri" w:cs="Cordia New"/>
      <w:szCs w:val="28"/>
      <w:lang w:val="en-US" w:bidi="th-TH"/>
    </w:rPr>
  </w:style>
  <w:style w:type="character" w:styleId="CommentReference">
    <w:name w:val="annotation reference"/>
    <w:basedOn w:val="DefaultParagraphFont"/>
    <w:uiPriority w:val="99"/>
    <w:semiHidden/>
    <w:unhideWhenUsed/>
    <w:rsid w:val="00E00CFF"/>
    <w:rPr>
      <w:sz w:val="16"/>
      <w:szCs w:val="16"/>
    </w:rPr>
  </w:style>
  <w:style w:type="paragraph" w:styleId="CommentText">
    <w:name w:val="annotation text"/>
    <w:basedOn w:val="Normal"/>
    <w:link w:val="CommentTextChar"/>
    <w:uiPriority w:val="99"/>
    <w:semiHidden/>
    <w:unhideWhenUsed/>
    <w:rsid w:val="00E00CFF"/>
    <w:pPr>
      <w:spacing w:line="240" w:lineRule="auto"/>
    </w:pPr>
    <w:rPr>
      <w:sz w:val="20"/>
      <w:szCs w:val="25"/>
    </w:rPr>
  </w:style>
  <w:style w:type="character" w:customStyle="1" w:styleId="CommentTextChar">
    <w:name w:val="Comment Text Char"/>
    <w:basedOn w:val="DefaultParagraphFont"/>
    <w:link w:val="CommentText"/>
    <w:uiPriority w:val="99"/>
    <w:semiHidden/>
    <w:rsid w:val="00E00CFF"/>
    <w:rPr>
      <w:rFonts w:ascii="Calibri" w:eastAsia="Calibri" w:hAnsi="Calibri" w:cs="Cordia New"/>
      <w:sz w:val="20"/>
      <w:szCs w:val="25"/>
      <w:lang w:val="en-US" w:bidi="th-TH"/>
    </w:rPr>
  </w:style>
  <w:style w:type="paragraph" w:styleId="CommentSubject">
    <w:name w:val="annotation subject"/>
    <w:basedOn w:val="CommentText"/>
    <w:next w:val="CommentText"/>
    <w:link w:val="CommentSubjectChar"/>
    <w:uiPriority w:val="99"/>
    <w:semiHidden/>
    <w:unhideWhenUsed/>
    <w:rsid w:val="00E00CFF"/>
    <w:rPr>
      <w:b/>
      <w:bCs/>
    </w:rPr>
  </w:style>
  <w:style w:type="character" w:customStyle="1" w:styleId="CommentSubjectChar">
    <w:name w:val="Comment Subject Char"/>
    <w:basedOn w:val="CommentTextChar"/>
    <w:link w:val="CommentSubject"/>
    <w:uiPriority w:val="99"/>
    <w:semiHidden/>
    <w:rsid w:val="00E00CFF"/>
    <w:rPr>
      <w:rFonts w:ascii="Calibri" w:eastAsia="Calibri" w:hAnsi="Calibri" w:cs="Cordia New"/>
      <w:b/>
      <w:bCs/>
      <w:sz w:val="20"/>
      <w:szCs w:val="25"/>
      <w:lang w:val="en-US" w:bidi="th-TH"/>
    </w:rPr>
  </w:style>
  <w:style w:type="paragraph" w:styleId="Revision">
    <w:name w:val="Revision"/>
    <w:hidden/>
    <w:uiPriority w:val="99"/>
    <w:semiHidden/>
    <w:rsid w:val="00E00CFF"/>
    <w:pPr>
      <w:spacing w:after="0" w:line="240" w:lineRule="auto"/>
    </w:pPr>
    <w:rPr>
      <w:rFonts w:ascii="Calibri" w:eastAsia="Calibri" w:hAnsi="Calibri" w:cs="Cordia New"/>
      <w:szCs w:val="28"/>
      <w:lang w:val="en-US" w:bidi="th-TH"/>
    </w:rPr>
  </w:style>
  <w:style w:type="paragraph" w:styleId="BalloonText">
    <w:name w:val="Balloon Text"/>
    <w:basedOn w:val="Normal"/>
    <w:link w:val="BalloonTextChar"/>
    <w:uiPriority w:val="99"/>
    <w:semiHidden/>
    <w:unhideWhenUsed/>
    <w:rsid w:val="00E00CF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00CFF"/>
    <w:rPr>
      <w:rFonts w:ascii="Tahoma" w:eastAsia="Calibri" w:hAnsi="Tahoma" w:cs="Angsana New"/>
      <w:sz w:val="16"/>
      <w:szCs w:val="20"/>
      <w:lang w:val="en-US" w:bidi="th-TH"/>
    </w:rPr>
  </w:style>
  <w:style w:type="paragraph" w:styleId="ListParagraph">
    <w:name w:val="List Paragraph"/>
    <w:basedOn w:val="Normal"/>
    <w:uiPriority w:val="34"/>
    <w:qFormat/>
    <w:rsid w:val="009B0C72"/>
    <w:pPr>
      <w:ind w:left="720"/>
      <w:contextualSpacing/>
    </w:pPr>
  </w:style>
  <w:style w:type="table" w:styleId="TableGrid">
    <w:name w:val="Table Grid"/>
    <w:basedOn w:val="TableNormal"/>
    <w:uiPriority w:val="59"/>
    <w:rsid w:val="005B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19B8"/>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1619B8"/>
    <w:rPr>
      <w:rFonts w:ascii="Calibri" w:eastAsia="Calibri" w:hAnsi="Calibri" w:cs="Cordia New"/>
      <w:sz w:val="20"/>
      <w:szCs w:val="25"/>
      <w:lang w:val="en-US" w:bidi="th-TH"/>
    </w:rPr>
  </w:style>
  <w:style w:type="character" w:styleId="FootnoteReference">
    <w:name w:val="footnote reference"/>
    <w:basedOn w:val="DefaultParagraphFont"/>
    <w:uiPriority w:val="99"/>
    <w:semiHidden/>
    <w:unhideWhenUsed/>
    <w:rsid w:val="001619B8"/>
    <w:rPr>
      <w:vertAlign w:val="superscript"/>
    </w:rPr>
  </w:style>
  <w:style w:type="paragraph" w:styleId="Footer">
    <w:name w:val="footer"/>
    <w:basedOn w:val="Normal"/>
    <w:link w:val="FooterChar"/>
    <w:uiPriority w:val="99"/>
    <w:unhideWhenUsed/>
    <w:rsid w:val="005E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BCE"/>
    <w:rPr>
      <w:rFonts w:ascii="Calibri" w:eastAsia="Calibri" w:hAnsi="Calibri" w:cs="Cordia New"/>
      <w:szCs w:val="28"/>
      <w:lang w:val="en-US" w:bidi="th-TH"/>
    </w:rPr>
  </w:style>
  <w:style w:type="character" w:styleId="Hyperlink">
    <w:name w:val="Hyperlink"/>
    <w:basedOn w:val="DefaultParagraphFont"/>
    <w:uiPriority w:val="99"/>
    <w:unhideWhenUsed/>
    <w:rsid w:val="003B6651"/>
    <w:rPr>
      <w:color w:val="0000FF" w:themeColor="hyperlink"/>
      <w:u w:val="single"/>
    </w:rPr>
  </w:style>
  <w:style w:type="table" w:styleId="LightGrid-Accent5">
    <w:name w:val="Light Grid Accent 5"/>
    <w:basedOn w:val="TableNormal"/>
    <w:uiPriority w:val="62"/>
    <w:rsid w:val="00B33D2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97360">
      <w:bodyDiv w:val="1"/>
      <w:marLeft w:val="0"/>
      <w:marRight w:val="0"/>
      <w:marTop w:val="0"/>
      <w:marBottom w:val="0"/>
      <w:divBdr>
        <w:top w:val="none" w:sz="0" w:space="0" w:color="auto"/>
        <w:left w:val="none" w:sz="0" w:space="0" w:color="auto"/>
        <w:bottom w:val="none" w:sz="0" w:space="0" w:color="auto"/>
        <w:right w:val="none" w:sz="0" w:space="0" w:color="auto"/>
      </w:divBdr>
    </w:div>
    <w:div w:id="2101560725">
      <w:bodyDiv w:val="1"/>
      <w:marLeft w:val="0"/>
      <w:marRight w:val="0"/>
      <w:marTop w:val="0"/>
      <w:marBottom w:val="0"/>
      <w:divBdr>
        <w:top w:val="none" w:sz="0" w:space="0" w:color="auto"/>
        <w:left w:val="none" w:sz="0" w:space="0" w:color="auto"/>
        <w:bottom w:val="none" w:sz="0" w:space="0" w:color="auto"/>
        <w:right w:val="none" w:sz="0" w:space="0" w:color="auto"/>
      </w:divBdr>
    </w:div>
    <w:div w:id="210275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2015-07-25T05:00:00+00:00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795caa6f-2434-401a-8cd3-d26ec364a86e</TermId>
        </TermInfo>
      </Terms>
    </UNDPCountryTaxHTField0>
    <UndpOUCode xmlns="1ed4137b-41b2-488b-8250-6d369ec27664">MMR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Inclusive financial sectors</TermName>
          <TermId xmlns="http://schemas.microsoft.com/office/infopath/2007/PartnerControls">5a40c815-eaab-4dd9-a056-93cb8a4fd02b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1197</Value>
      <Value>1111</Value>
      <Value>1518</Value>
      <Value>1</Value>
      <Value>307</Value>
    </TaxCatchAll>
    <c4e2ab2cc9354bbf9064eeb465a566ea xmlns="1ed4137b-41b2-488b-8250-6d369ec27664">
      <Terms xmlns="http://schemas.microsoft.com/office/infopath/2007/PartnerControls"/>
    </c4e2ab2cc9354bbf9064eeb465a566ea>
    <UndpProjectNo xmlns="1ed4137b-41b2-488b-8250-6d369ec27664">00074121</UndpProjectNo>
    <UndpDocStatus xmlns="1ed4137b-41b2-488b-8250-6d369ec27664">Approved</UndpDocStatus>
    <Outcome1 xmlns="f1161f5b-24a3-4c2d-bc81-44cb9325e8ee">00086667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ATLASPDC-4-35014</_dlc_DocId>
    <_dlc_DocIdUrl xmlns="f1161f5b-24a3-4c2d-bc81-44cb9325e8ee">
      <Url>https://info.undp.org/docs/pdc/_layouts/DocIdRedir.aspx?ID=ATLASPDC-4-35014</Url>
      <Description>ATLASPDC-4-35014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764E8E8-6187-4F48-8C9D-2F4ABDE8D3B0}"/>
</file>

<file path=customXml/itemProps2.xml><?xml version="1.0" encoding="utf-8"?>
<ds:datastoreItem xmlns:ds="http://schemas.openxmlformats.org/officeDocument/2006/customXml" ds:itemID="{5E068B81-ECF6-4865-8760-368797881D27}"/>
</file>

<file path=customXml/itemProps3.xml><?xml version="1.0" encoding="utf-8"?>
<ds:datastoreItem xmlns:ds="http://schemas.openxmlformats.org/officeDocument/2006/customXml" ds:itemID="{A81087C1-0828-433E-992D-15AE6D4AD6DA}"/>
</file>

<file path=customXml/itemProps4.xml><?xml version="1.0" encoding="utf-8"?>
<ds:datastoreItem xmlns:ds="http://schemas.openxmlformats.org/officeDocument/2006/customXml" ds:itemID="{36FED257-76C7-4F9C-A488-8FA13C2D0E1F}"/>
</file>

<file path=customXml/itemProps5.xml><?xml version="1.0" encoding="utf-8"?>
<ds:datastoreItem xmlns:ds="http://schemas.openxmlformats.org/officeDocument/2006/customXml" ds:itemID="{14E70F4B-C2EB-488A-9E0C-AE487F626FB4}"/>
</file>

<file path=customXml/itemProps6.xml><?xml version="1.0" encoding="utf-8"?>
<ds:datastoreItem xmlns:ds="http://schemas.openxmlformats.org/officeDocument/2006/customXml" ds:itemID="{3178DCBF-DEB0-41CC-A4FB-4C6D47073053}"/>
</file>

<file path=docProps/app.xml><?xml version="1.0" encoding="utf-8"?>
<Properties xmlns="http://schemas.openxmlformats.org/officeDocument/2006/extended-properties" xmlns:vt="http://schemas.openxmlformats.org/officeDocument/2006/docPropsVTypes">
  <Template>Normal.dotm</Template>
  <TotalTime>1</TotalTime>
  <Pages>1</Pages>
  <Words>5872</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39271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 II Delta</dc:title>
  <dc:subject/>
  <dc:creator>khin.may.shin</dc:creator>
  <cp:lastModifiedBy>Khin May Shin</cp:lastModifiedBy>
  <cp:revision>4</cp:revision>
  <cp:lastPrinted>2014-03-11T06:47:00Z</cp:lastPrinted>
  <dcterms:created xsi:type="dcterms:W3CDTF">2014-03-11T07:41:00Z</dcterms:created>
  <dcterms:modified xsi:type="dcterms:W3CDTF">2015-07-25T04:48:00Z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24314</vt:lpwstr>
  </property>
  <property fmtid="{D5CDD505-2E9C-101B-9397-08002B2CF9AE}" pid="3" name="NXPowerLiteVersion">
    <vt:lpwstr>D3.7.2</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DPCountry">
    <vt:lpwstr>1518;#Myanmar|795caa6f-2434-401a-8cd3-d26ec364a86e</vt:lpwstr>
  </property>
  <property fmtid="{D5CDD505-2E9C-101B-9397-08002B2CF9AE}" pid="6" name="Atlas_x0020_Document_x0020_Type">
    <vt:lpwstr>237;#Donor Report|1721730c-4059-4c70-9961-19247f3f89af</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1197;#MMR|2419dee4-d5af-4236-9c89-99ccdecb9b2a</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307;#Inclusive financial sectors|5a40c815-eaab-4dd9-a056-93cb8a4fd02b</vt:lpwstr>
  </property>
  <property fmtid="{D5CDD505-2E9C-101B-9397-08002B2CF9AE}" pid="17" name="UndpDocTypeMM">
    <vt:lpwstr/>
  </property>
  <property fmtid="{D5CDD505-2E9C-101B-9397-08002B2CF9AE}" pid="18" name="Atlas Document Type">
    <vt:lpwstr>1111;#Donor Report|632012e1-2edc-436c-bf11-0ed9e79cd8fe</vt:lpwstr>
  </property>
  <property fmtid="{D5CDD505-2E9C-101B-9397-08002B2CF9AE}" pid="19" name="_dlc_DocIdItemGuid">
    <vt:lpwstr>c9d803ee-1ace-434f-b159-3d8ef1f84484</vt:lpwstr>
  </property>
  <property fmtid="{D5CDD505-2E9C-101B-9397-08002B2CF9AE}" pid="20" name="URL">
    <vt:lpwstr/>
  </property>
  <property fmtid="{D5CDD505-2E9C-101B-9397-08002B2CF9AE}" pid="21" name="DocumentSetDescription">
    <vt:lpwstr/>
  </property>
</Properties>
</file>